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85" w:rsidRDefault="006A1E85" w:rsidP="00031375">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31375" w:rsidRDefault="00031375" w:rsidP="00031375">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ГОСТ Р 42.5.02-2024</w:t>
      </w:r>
    </w:p>
    <w:p w:rsidR="006A1E85" w:rsidRPr="00D62A80" w:rsidRDefault="006A1E85" w:rsidP="00031375">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D62A80" w:rsidRPr="00D62A80" w:rsidRDefault="00031375"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НАЦИОНАЛЬНЫЙ СТАНДАРТ РОССИЙСКОЙ ФЕДЕРАЦИИ</w:t>
      </w:r>
      <w:r w:rsidRPr="00D62A80">
        <w:rPr>
          <w:rFonts w:ascii="Times New Roman" w:eastAsia="Times New Roman" w:hAnsi="Times New Roman" w:cs="Times New Roman"/>
          <w:b/>
          <w:bCs/>
          <w:sz w:val="28"/>
          <w:szCs w:val="28"/>
          <w:lang w:eastAsia="ru-RU"/>
        </w:rPr>
        <w:br/>
      </w:r>
    </w:p>
    <w:p w:rsidR="00031375" w:rsidRPr="00D62A80" w:rsidRDefault="00031375"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Гражданская оборона</w:t>
      </w:r>
    </w:p>
    <w:p w:rsidR="00D62A80" w:rsidRPr="00D62A80" w:rsidRDefault="00D62A80"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p>
    <w:p w:rsidR="00031375" w:rsidRPr="00D62A80" w:rsidRDefault="00031375"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СЕТЬ НАБЛЮДЕНИЯ И ЛАБОРАТОРНОГО КОНТРОЛЯ ГРАЖДАНСКОЙ ОБОРОНЫ И ЗАЩИТЫ НАСЕЛЕНИЯ</w:t>
      </w:r>
    </w:p>
    <w:p w:rsidR="00D62A80" w:rsidRPr="00D62A80" w:rsidRDefault="00D62A80"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p>
    <w:p w:rsidR="00031375" w:rsidRPr="00C05B68" w:rsidRDefault="00031375"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Общие</w:t>
      </w:r>
      <w:r w:rsidRPr="00C05B68">
        <w:rPr>
          <w:rFonts w:ascii="Times New Roman" w:eastAsia="Times New Roman" w:hAnsi="Times New Roman" w:cs="Times New Roman"/>
          <w:b/>
          <w:bCs/>
          <w:sz w:val="28"/>
          <w:szCs w:val="28"/>
          <w:lang w:eastAsia="ru-RU"/>
        </w:rPr>
        <w:t xml:space="preserve"> </w:t>
      </w:r>
      <w:r w:rsidRPr="00D62A80">
        <w:rPr>
          <w:rFonts w:ascii="Times New Roman" w:eastAsia="Times New Roman" w:hAnsi="Times New Roman" w:cs="Times New Roman"/>
          <w:b/>
          <w:bCs/>
          <w:sz w:val="28"/>
          <w:szCs w:val="28"/>
          <w:lang w:eastAsia="ru-RU"/>
        </w:rPr>
        <w:t>положения</w:t>
      </w:r>
    </w:p>
    <w:p w:rsidR="00D62A80" w:rsidRPr="00C05B68" w:rsidRDefault="00D62A80" w:rsidP="00D62A80">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lang w:eastAsia="ru-RU"/>
        </w:rPr>
      </w:pPr>
    </w:p>
    <w:p w:rsidR="00031375" w:rsidRPr="00D62A80" w:rsidRDefault="00031375" w:rsidP="000313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ОКС 13.200</w:t>
      </w:r>
      <w:r w:rsidRPr="00D62A80">
        <w:rPr>
          <w:rFonts w:ascii="Times New Roman" w:eastAsia="Times New Roman" w:hAnsi="Times New Roman" w:cs="Times New Roman"/>
          <w:sz w:val="28"/>
          <w:szCs w:val="28"/>
          <w:lang w:eastAsia="ru-RU"/>
        </w:rPr>
        <w:br/>
      </w:r>
    </w:p>
    <w:p w:rsidR="00031375" w:rsidRPr="00D62A80" w:rsidRDefault="00031375" w:rsidP="00031375">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Дата введения 2024-11-01</w:t>
      </w: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Предисловие</w:t>
      </w:r>
    </w:p>
    <w:p w:rsidR="00031375" w:rsidRPr="00D62A80" w:rsidRDefault="00031375" w:rsidP="00D62A8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     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2 ВНЕСЕН Техническим комитетом по стандартизации ТК 071 "Гражданская оборона, предупреждение и ликвидация чрезвычайных ситуаций"</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3 УТВЕРЖДЕН И ВВЕДЕН В ДЕЙСТВИЕ </w:t>
      </w:r>
      <w:hyperlink r:id="rId4" w:anchor="64S0IJ" w:history="1">
        <w:r w:rsidRPr="00D62A80">
          <w:rPr>
            <w:rFonts w:ascii="Times New Roman" w:eastAsia="Times New Roman" w:hAnsi="Times New Roman" w:cs="Times New Roman"/>
            <w:sz w:val="28"/>
            <w:szCs w:val="28"/>
            <w:u w:val="single"/>
            <w:lang w:eastAsia="ru-RU"/>
          </w:rPr>
          <w:t>Приказом Федерального агентства по техническому регулированию и метрологии от 6 июня 2024 г. № 705-ст</w:t>
        </w:r>
      </w:hyperlink>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 ВВЕДЕН ВПЕРВЫЕ</w:t>
      </w:r>
    </w:p>
    <w:p w:rsidR="00D62A80" w:rsidRPr="00D62A80" w:rsidRDefault="00D62A80"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62A80">
        <w:rPr>
          <w:rFonts w:ascii="Times New Roman" w:eastAsia="Times New Roman" w:hAnsi="Times New Roman" w:cs="Times New Roman"/>
          <w:i/>
          <w:iCs/>
          <w:sz w:val="24"/>
          <w:szCs w:val="24"/>
          <w:bdr w:val="none" w:sz="0" w:space="0" w:color="auto" w:frame="1"/>
          <w:lang w:eastAsia="ru-RU"/>
        </w:rPr>
        <w:t>    Правила применения настоящего стандарта установлены в </w:t>
      </w:r>
      <w:hyperlink r:id="rId5" w:anchor="8Q40M1" w:history="1">
        <w:r w:rsidRPr="00D62A80">
          <w:rPr>
            <w:rFonts w:ascii="Times New Roman" w:eastAsia="Times New Roman" w:hAnsi="Times New Roman" w:cs="Times New Roman"/>
            <w:sz w:val="24"/>
            <w:szCs w:val="24"/>
            <w:u w:val="single"/>
            <w:lang w:eastAsia="ru-RU"/>
          </w:rPr>
          <w:t>статье 26 Федерального закона от 29 июня 2015 г. № 162-ФЗ "О стандартизации в Российской Федерации</w:t>
        </w:r>
      </w:hyperlink>
      <w:r w:rsidRPr="00D62A80">
        <w:rPr>
          <w:rFonts w:ascii="Times New Roman" w:eastAsia="Times New Roman" w:hAnsi="Times New Roman" w:cs="Times New Roman"/>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C05B68">
        <w:rPr>
          <w:rFonts w:ascii="Times New Roman" w:eastAsia="Times New Roman" w:hAnsi="Times New Roman" w:cs="Times New Roman"/>
          <w:i/>
          <w:iCs/>
          <w:color w:val="00B0F0"/>
          <w:sz w:val="24"/>
          <w:szCs w:val="24"/>
          <w:bdr w:val="none" w:sz="0" w:space="0" w:color="auto" w:frame="1"/>
          <w:lang w:eastAsia="ru-RU"/>
        </w:rPr>
        <w:t>www.rst.gov.ru</w:t>
      </w:r>
      <w:r w:rsidRPr="00D62A80">
        <w:rPr>
          <w:rFonts w:ascii="Times New Roman" w:eastAsia="Times New Roman" w:hAnsi="Times New Roman" w:cs="Times New Roman"/>
          <w:i/>
          <w:iCs/>
          <w:sz w:val="24"/>
          <w:szCs w:val="24"/>
          <w:bdr w:val="none" w:sz="0" w:space="0" w:color="auto" w:frame="1"/>
          <w:lang w:eastAsia="ru-RU"/>
        </w:rPr>
        <w:t>)</w:t>
      </w:r>
    </w:p>
    <w:p w:rsidR="00D62A80"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4"/>
          <w:szCs w:val="24"/>
          <w:lang w:eastAsia="ru-RU"/>
        </w:rPr>
      </w:pPr>
      <w:r w:rsidRPr="00D62A80">
        <w:rPr>
          <w:rFonts w:ascii="Times New Roman" w:eastAsia="Times New Roman" w:hAnsi="Times New Roman" w:cs="Times New Roman"/>
          <w:b/>
          <w:bCs/>
          <w:sz w:val="24"/>
          <w:szCs w:val="24"/>
          <w:lang w:eastAsia="ru-RU"/>
        </w:rPr>
        <w:t>   </w:t>
      </w: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4"/>
          <w:szCs w:val="24"/>
          <w:lang w:eastAsia="ru-RU"/>
        </w:rPr>
        <w:t>  </w:t>
      </w:r>
      <w:r w:rsidRPr="00D62A80">
        <w:rPr>
          <w:rFonts w:ascii="Times New Roman" w:eastAsia="Times New Roman" w:hAnsi="Times New Roman" w:cs="Times New Roman"/>
          <w:b/>
          <w:bCs/>
          <w:sz w:val="28"/>
          <w:szCs w:val="28"/>
          <w:lang w:eastAsia="ru-RU"/>
        </w:rPr>
        <w:t>1 Область применения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Настоящий стандарт содержит основные положения по организации функционирования сети наблюдения и лабораторного контроля гражданской обороны и защиты населения на территории Российской Федерации (СНЛК).</w:t>
      </w:r>
    </w:p>
    <w:p w:rsid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     </w:t>
      </w: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2 Нормативные ссылки</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В настоящем стандарте использованы нормативные ссылки на следующие стандарты:</w:t>
      </w:r>
    </w:p>
    <w:p w:rsidR="00031375" w:rsidRPr="00D62A80"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hyperlink r:id="rId6" w:anchor="7D20K3" w:history="1">
        <w:r w:rsidR="00031375" w:rsidRPr="00D62A80">
          <w:rPr>
            <w:rFonts w:ascii="Times New Roman" w:eastAsia="Times New Roman" w:hAnsi="Times New Roman" w:cs="Times New Roman"/>
            <w:sz w:val="28"/>
            <w:szCs w:val="28"/>
            <w:u w:val="single"/>
            <w:lang w:eastAsia="ru-RU"/>
          </w:rPr>
          <w:t>ГОСТ Р 22.0.02</w:t>
        </w:r>
      </w:hyperlink>
      <w:r w:rsidR="00031375" w:rsidRPr="00D62A80">
        <w:rPr>
          <w:rFonts w:ascii="Times New Roman" w:eastAsia="Times New Roman" w:hAnsi="Times New Roman" w:cs="Times New Roman"/>
          <w:sz w:val="28"/>
          <w:szCs w:val="28"/>
          <w:lang w:eastAsia="ru-RU"/>
        </w:rPr>
        <w:t> Безопасность в чрезвычайных ситуациях. Термины и определения</w:t>
      </w:r>
    </w:p>
    <w:p w:rsidR="00031375" w:rsidRPr="00D62A80"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hyperlink r:id="rId7" w:anchor="7D20K3" w:history="1">
        <w:r w:rsidR="00031375" w:rsidRPr="00D62A80">
          <w:rPr>
            <w:rFonts w:ascii="Times New Roman" w:eastAsia="Times New Roman" w:hAnsi="Times New Roman" w:cs="Times New Roman"/>
            <w:sz w:val="28"/>
            <w:szCs w:val="28"/>
            <w:u w:val="single"/>
            <w:lang w:eastAsia="ru-RU"/>
          </w:rPr>
          <w:t>ГОСТ Р 42.0.02</w:t>
        </w:r>
      </w:hyperlink>
      <w:r w:rsidR="00031375" w:rsidRPr="00D62A80">
        <w:rPr>
          <w:rFonts w:ascii="Times New Roman" w:eastAsia="Times New Roman" w:hAnsi="Times New Roman" w:cs="Times New Roman"/>
          <w:sz w:val="28"/>
          <w:szCs w:val="28"/>
          <w:lang w:eastAsia="ru-RU"/>
        </w:rPr>
        <w:t> Гражданская оборона. Термины и определения основных понятий</w:t>
      </w:r>
    </w:p>
    <w:p w:rsidR="00031375"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4"/>
          <w:szCs w:val="28"/>
          <w:lang w:eastAsia="ru-RU"/>
        </w:rPr>
      </w:pPr>
      <w:r w:rsidRPr="00D62A80">
        <w:rPr>
          <w:rFonts w:ascii="Times New Roman" w:eastAsia="Times New Roman" w:hAnsi="Times New Roman" w:cs="Times New Roman"/>
          <w:sz w:val="24"/>
          <w:szCs w:val="28"/>
          <w:lang w:eastAsia="ru-RU"/>
        </w:rP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010164" w:rsidRPr="00D62A80" w:rsidRDefault="00010164" w:rsidP="00031375">
      <w:pPr>
        <w:shd w:val="clear" w:color="auto" w:fill="FFFFFF"/>
        <w:spacing w:after="0" w:line="240" w:lineRule="auto"/>
        <w:ind w:firstLine="480"/>
        <w:jc w:val="both"/>
        <w:textAlignment w:val="baseline"/>
        <w:rPr>
          <w:rFonts w:ascii="Times New Roman" w:eastAsia="Times New Roman" w:hAnsi="Times New Roman" w:cs="Times New Roman"/>
          <w:sz w:val="24"/>
          <w:szCs w:val="28"/>
          <w:lang w:eastAsia="ru-RU"/>
        </w:rPr>
      </w:pP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 3 Термины и определения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3.1 В настоящем стандарте применены термины по </w:t>
      </w:r>
      <w:hyperlink r:id="rId8" w:anchor="7D20K3" w:history="1">
        <w:r w:rsidRPr="00D62A80">
          <w:rPr>
            <w:rFonts w:ascii="Times New Roman" w:eastAsia="Times New Roman" w:hAnsi="Times New Roman" w:cs="Times New Roman"/>
            <w:sz w:val="28"/>
            <w:szCs w:val="28"/>
            <w:u w:val="single"/>
            <w:lang w:eastAsia="ru-RU"/>
          </w:rPr>
          <w:t>ГОСТ Р 22.0.02</w:t>
        </w:r>
      </w:hyperlink>
      <w:r w:rsidRPr="00D62A80">
        <w:rPr>
          <w:rFonts w:ascii="Times New Roman" w:eastAsia="Times New Roman" w:hAnsi="Times New Roman" w:cs="Times New Roman"/>
          <w:sz w:val="28"/>
          <w:szCs w:val="28"/>
          <w:lang w:eastAsia="ru-RU"/>
        </w:rPr>
        <w:t>, </w:t>
      </w:r>
      <w:hyperlink r:id="rId9" w:anchor="7D20K3" w:history="1">
        <w:r w:rsidRPr="00D62A80">
          <w:rPr>
            <w:rFonts w:ascii="Times New Roman" w:eastAsia="Times New Roman" w:hAnsi="Times New Roman" w:cs="Times New Roman"/>
            <w:sz w:val="28"/>
            <w:szCs w:val="28"/>
            <w:u w:val="single"/>
            <w:lang w:eastAsia="ru-RU"/>
          </w:rPr>
          <w:t>ГОСТ Р 42.0.02</w:t>
        </w:r>
      </w:hyperlink>
      <w:r w:rsidRPr="00D62A80">
        <w:rPr>
          <w:rFonts w:ascii="Times New Roman" w:eastAsia="Times New Roman" w:hAnsi="Times New Roman" w:cs="Times New Roman"/>
          <w:sz w:val="28"/>
          <w:szCs w:val="28"/>
          <w:lang w:eastAsia="ru-RU"/>
        </w:rPr>
        <w:t>.</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3.2 В настоящем стандарте применены следующие сокращения: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РХБ - радиационная, химическая, биологическая;</w:t>
      </w:r>
    </w:p>
    <w:p w:rsidR="00031375"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ЧС - чрезвычайная ситуация.</w:t>
      </w:r>
    </w:p>
    <w:p w:rsidR="00010164" w:rsidRDefault="00031375" w:rsidP="00010164">
      <w:pPr>
        <w:shd w:val="clear" w:color="auto" w:fill="FFFFFF"/>
        <w:spacing w:after="0" w:line="240" w:lineRule="auto"/>
        <w:contextualSpacing/>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     </w:t>
      </w: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4 Общие положения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4.1 СНЛК является общегосударственной структурой, предназначенной для своевременного обнаружения радиоактивного, химического, биологического загрязнения окружающей среды при чрезвычайных ситуациях мирного или военного времени и принятия экстренных мер по защите населения и объектов экономики.</w:t>
      </w:r>
    </w:p>
    <w:p w:rsidR="00C05B68"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4.2 Сеть наблюдения и лабораторного контроля состоит из федеральных и территориальных подсетей.</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4.2.1 Федеральная подсеть СНЛК формируется федеральными органами исполнительной власти, Государственной корпорацией "</w:t>
      </w:r>
      <w:proofErr w:type="spellStart"/>
      <w:r w:rsidRPr="00D62A80">
        <w:rPr>
          <w:rFonts w:ascii="Times New Roman" w:eastAsia="Times New Roman" w:hAnsi="Times New Roman" w:cs="Times New Roman"/>
          <w:sz w:val="28"/>
          <w:szCs w:val="28"/>
          <w:lang w:eastAsia="ru-RU"/>
        </w:rPr>
        <w:t>Росатом</w:t>
      </w:r>
      <w:proofErr w:type="spellEnd"/>
      <w:r w:rsidRPr="00D62A80">
        <w:rPr>
          <w:rFonts w:ascii="Times New Roman" w:eastAsia="Times New Roman" w:hAnsi="Times New Roman" w:cs="Times New Roman"/>
          <w:sz w:val="28"/>
          <w:szCs w:val="28"/>
          <w:lang w:eastAsia="ru-RU"/>
        </w:rPr>
        <w:t>", исходя из возложенных на них задач в области гражданской обороны, на основе отраслевых научно-исследовательских организаций и учреждений центрального подчинения.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4.2.2 Территориальная подсеть формируются органами государственной власти субъектов Российской Федерации, исходя из возложенных на них задач в области гражданской обороны, на основе учреждений, организаций, профильных центров, решающих задачи по контролю радиационной, химической и биологической обстановки в масштабе региона.</w:t>
      </w:r>
    </w:p>
    <w:p w:rsidR="00C05B68"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4.3 Основными функциями сети наблюдения и лабораторного контроля являются: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 наблюдение и лабораторный контроль за состоянием радиационной, химической и биологической обстановки на территории Российской Федерации;</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 установление наличия в окружающей среде и вида патогенных биологических агентов, вызывающих инфекционные болезни человека, животных, вредных и особо опасных вредных организмов на объектах растениеводства и территориях сельскохозяйственных угодий;</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 xml:space="preserve">- отбор и доставка проб в специализированные учреждения для проведения исследований по определению загрязненности радиоактивными веществами, </w:t>
      </w:r>
      <w:r w:rsidRPr="00D62A80">
        <w:rPr>
          <w:rFonts w:ascii="Times New Roman" w:eastAsia="Times New Roman" w:hAnsi="Times New Roman" w:cs="Times New Roman"/>
          <w:sz w:val="28"/>
          <w:szCs w:val="28"/>
          <w:lang w:eastAsia="ru-RU"/>
        </w:rPr>
        <w:lastRenderedPageBreak/>
        <w:t xml:space="preserve">зараженности отравляющими веществами, </w:t>
      </w:r>
      <w:proofErr w:type="spellStart"/>
      <w:r w:rsidRPr="00D62A80">
        <w:rPr>
          <w:rFonts w:ascii="Times New Roman" w:eastAsia="Times New Roman" w:hAnsi="Times New Roman" w:cs="Times New Roman"/>
          <w:sz w:val="28"/>
          <w:szCs w:val="28"/>
          <w:lang w:eastAsia="ru-RU"/>
        </w:rPr>
        <w:t>аварийно</w:t>
      </w:r>
      <w:proofErr w:type="spellEnd"/>
      <w:r w:rsidRPr="00D62A80">
        <w:rPr>
          <w:rFonts w:ascii="Times New Roman" w:eastAsia="Times New Roman" w:hAnsi="Times New Roman" w:cs="Times New Roman"/>
          <w:sz w:val="28"/>
          <w:szCs w:val="28"/>
          <w:lang w:eastAsia="ru-RU"/>
        </w:rPr>
        <w:t xml:space="preserve"> химически опасными веществами и биологическими средствами;</w:t>
      </w:r>
    </w:p>
    <w:p w:rsidR="00031375"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 выработка предложений по повышению эффективности деятельности сети наблюдения и лабораторного контроля в условиях опасностей радиационного, химического и биологического характера, возникающих при военных конфликтах или вследствие этих конфликтов, а также при чрезвычайных ситуациях природного и техногенного характера.</w:t>
      </w:r>
    </w:p>
    <w:p w:rsid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 </w:t>
      </w:r>
    </w:p>
    <w:p w:rsidR="00031375" w:rsidRPr="00D62A80" w:rsidRDefault="00031375" w:rsidP="00031375">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D62A80">
        <w:rPr>
          <w:rFonts w:ascii="Times New Roman" w:eastAsia="Times New Roman" w:hAnsi="Times New Roman" w:cs="Times New Roman"/>
          <w:b/>
          <w:bCs/>
          <w:sz w:val="28"/>
          <w:szCs w:val="28"/>
          <w:lang w:eastAsia="ru-RU"/>
        </w:rPr>
        <w:t>5 Функционирование сети наблюдения и лабораторного контроля гражданской обороны и защиты населения на территории Российской Федерации</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5.1 Функционирование федеральных и территориальных подсетей СНЛК осуществляется согласно положениями планов гражданской обороны федеральных органов исполнительной власти, Государственной корпорации "</w:t>
      </w:r>
      <w:proofErr w:type="spellStart"/>
      <w:r w:rsidRPr="00D62A80">
        <w:rPr>
          <w:rFonts w:ascii="Times New Roman" w:eastAsia="Times New Roman" w:hAnsi="Times New Roman" w:cs="Times New Roman"/>
          <w:sz w:val="28"/>
          <w:szCs w:val="28"/>
          <w:lang w:eastAsia="ru-RU"/>
        </w:rPr>
        <w:t>Росатом</w:t>
      </w:r>
      <w:proofErr w:type="spellEnd"/>
      <w:r w:rsidRPr="00D62A80">
        <w:rPr>
          <w:rFonts w:ascii="Times New Roman" w:eastAsia="Times New Roman" w:hAnsi="Times New Roman" w:cs="Times New Roman"/>
          <w:sz w:val="28"/>
          <w:szCs w:val="28"/>
          <w:lang w:eastAsia="ru-RU"/>
        </w:rPr>
        <w:t>", органов исполнительной власти субъектов Российской Федерации, муниципальных образований и организаций соответственно.</w:t>
      </w:r>
    </w:p>
    <w:p w:rsidR="00C05B68"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5.2 При отсутствии поражающих факторов РХБ характера, возникающих при военных конфликтах или вследствие этих конфликтов, а также при ЧС природного и техногенного характера, деятельность учреждений СНЛК включает следующие мероприятия: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а) выполнение задач в объеме, установленном уставами учреждений, положениями, регламентами и инструкциями вышестоящих органов;</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б) подготовку сил и средств к деятельности по предназначению;</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в) повышение квалификации сотрудников в профильных образовательных учреждениях;</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г) проведение тренировок и учений.</w:t>
      </w:r>
    </w:p>
    <w:p w:rsidR="00C05B68"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5.3 При угрозе появления поражающих факторов РХБ характера, возникающих при военных конфликтах или вследствие этих конфликтов, а также при ЧС природного и техногенного характера деятельность учреждений СНЛК включает следующие мероприятия: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а) оповещение и сбор личного состава специализированных подразделений и служб, осуществляющих функции наблюдения и контроля за РХБ обстановкой;</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б) перевод их на усиленный режим работы;</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в) проверку готовности к убытию в зону возможных ЧС РХБ характера;</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г) приведение в готовность к выходу и применению автомобильной, специальной и другой техники. Подготовка оборудования, снаряжения, имущества, а также средств индивидуальной защиты кожи и органов дыхания - в соответствии с утвержденными расчетами или особыми распоряжениями;</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д) организацию взаимодействия с оперативными группами органов исполнительной власти субъектов Российской Федерации, органов местного самоуправления по оповещению и информированию населения об угрозе возникновения ЧС РХБ характера и порядке их действий;</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е) организацию работы оперативных штабов по ликвидации последствий чрезвычайных ситуаций (центров поддержки принятия решений) на базе органов управления учреждениями СНЛК;</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ж) уточнение мероприятий, касающихся порядка действий (взаимодействия) учреждений СНЛК в зависимости от параметров складывающейся РХБ обстановки;</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lastRenderedPageBreak/>
        <w:t>и) осуществление непрерывного сбора и оценки данных РХБ обстановки в зоне возможной ЧС;</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к) уточнение задач подразделениям, доведение предварительных распоряжений для подготовки к выполнению задач по предназначению;</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л) уточнение состава группировки сил и средств, определение способов ее выдвижения в зону возможных ЧС (в районы погрузки) с проведением соответствующих расчетов на совершение марша;</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м) принятие оперативных мер по предупреждению возникновения ЧС РХБ характера, снижению размеров ущерба и потерь в случае их возникновения.</w:t>
      </w:r>
    </w:p>
    <w:p w:rsidR="00C05B68" w:rsidRDefault="00C05B68"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bookmarkStart w:id="0" w:name="_GoBack"/>
      <w:bookmarkEnd w:id="0"/>
      <w:r w:rsidRPr="00D62A80">
        <w:rPr>
          <w:rFonts w:ascii="Times New Roman" w:eastAsia="Times New Roman" w:hAnsi="Times New Roman" w:cs="Times New Roman"/>
          <w:sz w:val="28"/>
          <w:szCs w:val="28"/>
          <w:lang w:eastAsia="ru-RU"/>
        </w:rPr>
        <w:t>5.4 При наличии поражающих факторов РХБ характера, возникших при военных конфликтах или вследствие этих конфликтов, а также при ЧС природного и техногенного характера деятельность учреждений СНЛК включает следующие мероприятия: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а) организацию взаимодействия с оперативными группами учреждений СНЛК в зависимости от их территориальной принадлежности по вопросам достоверного и качественного прогноза развития ЧС РХБ характера;</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б) выдвижение группировки сил и средств учреждений СНЛК в зону ЧС РХБ характера;</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в) выполнение работ по непрерывной разведке, оценке и анализу развития РХБ обстановки, а также выработке предложений по локализации и ликвидации последствий ЧС РХБ характера;</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г) определение характера и масштаба возможного заражения, направление распространения и размеры зоны заражения, возможный характер поражающего действия на население, способы обеззараживания;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д) обозначение границ зон заражения;</w:t>
      </w:r>
    </w:p>
    <w:p w:rsidR="00031375" w:rsidRPr="00D62A80"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е) проведение отбора с последующим направлением в специализированные лаборатории (при невозможности качественной идентификации РХБ поражающего фактора);</w:t>
      </w:r>
    </w:p>
    <w:p w:rsidR="00031375" w:rsidRDefault="00031375"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62A80">
        <w:rPr>
          <w:rFonts w:ascii="Times New Roman" w:eastAsia="Times New Roman" w:hAnsi="Times New Roman" w:cs="Times New Roman"/>
          <w:sz w:val="28"/>
          <w:szCs w:val="28"/>
          <w:lang w:eastAsia="ru-RU"/>
        </w:rPr>
        <w:t>ж) осуществление непрерывного сбора, анализа и обмена информацией о РХБ обстановке в зоне ЧС и о ходе работ по ее ликвидации.</w:t>
      </w:r>
    </w:p>
    <w:p w:rsidR="00010164" w:rsidRPr="00D62A80" w:rsidRDefault="00010164" w:rsidP="0003137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sectPr w:rsidR="00010164" w:rsidRPr="00D62A80" w:rsidSect="00D62A8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75"/>
    <w:rsid w:val="00010164"/>
    <w:rsid w:val="00031375"/>
    <w:rsid w:val="0052391F"/>
    <w:rsid w:val="006A1E85"/>
    <w:rsid w:val="00C05B68"/>
    <w:rsid w:val="00C071D7"/>
    <w:rsid w:val="00D6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DC4D3-EB7C-4D68-8560-4C4DAF4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13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1375"/>
    <w:rPr>
      <w:rFonts w:ascii="Times New Roman" w:eastAsia="Times New Roman" w:hAnsi="Times New Roman" w:cs="Times New Roman"/>
      <w:b/>
      <w:bCs/>
      <w:sz w:val="36"/>
      <w:szCs w:val="36"/>
      <w:lang w:eastAsia="ru-RU"/>
    </w:rPr>
  </w:style>
  <w:style w:type="paragraph" w:customStyle="1" w:styleId="formattext">
    <w:name w:val="formattext"/>
    <w:basedOn w:val="a"/>
    <w:rsid w:val="00031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31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31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58259">
      <w:bodyDiv w:val="1"/>
      <w:marLeft w:val="0"/>
      <w:marRight w:val="0"/>
      <w:marTop w:val="0"/>
      <w:marBottom w:val="0"/>
      <w:divBdr>
        <w:top w:val="none" w:sz="0" w:space="0" w:color="auto"/>
        <w:left w:val="none" w:sz="0" w:space="0" w:color="auto"/>
        <w:bottom w:val="none" w:sz="0" w:space="0" w:color="auto"/>
        <w:right w:val="none" w:sz="0" w:space="0" w:color="auto"/>
      </w:divBdr>
      <w:divsChild>
        <w:div w:id="78014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39176" TargetMode="External"/><Relationship Id="rId3" Type="http://schemas.openxmlformats.org/officeDocument/2006/relationships/webSettings" Target="webSettings.xml"/><Relationship Id="rId7" Type="http://schemas.openxmlformats.org/officeDocument/2006/relationships/hyperlink" Target="https://docs.cntd.ru/document/1302050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1200139176" TargetMode="External"/><Relationship Id="rId11" Type="http://schemas.openxmlformats.org/officeDocument/2006/relationships/theme" Target="theme/theme1.xml"/><Relationship Id="rId5" Type="http://schemas.openxmlformats.org/officeDocument/2006/relationships/hyperlink" Target="https://docs.cntd.ru/document/420284277" TargetMode="External"/><Relationship Id="rId10" Type="http://schemas.openxmlformats.org/officeDocument/2006/relationships/fontTable" Target="fontTable.xml"/><Relationship Id="rId4" Type="http://schemas.openxmlformats.org/officeDocument/2006/relationships/hyperlink" Target="https://docs.cntd.ru/document/1306338348" TargetMode="External"/><Relationship Id="rId9" Type="http://schemas.openxmlformats.org/officeDocument/2006/relationships/hyperlink" Target="https://docs.cntd.ru/document/1302050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Краснокутский Денис Валентинович</dc:creator>
  <cp:keywords/>
  <dc:description/>
  <cp:lastModifiedBy>Васильев Владимир Аркадьевич</cp:lastModifiedBy>
  <cp:revision>9</cp:revision>
  <dcterms:created xsi:type="dcterms:W3CDTF">2024-11-02T07:05:00Z</dcterms:created>
  <dcterms:modified xsi:type="dcterms:W3CDTF">2024-11-02T08:17:00Z</dcterms:modified>
</cp:coreProperties>
</file>