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4E" w:rsidRPr="00680080" w:rsidRDefault="004A2F03" w:rsidP="00680080">
      <w:pPr>
        <w:pStyle w:val="ConsPlusTitle0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0080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672C4E" w:rsidRP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2C4E" w:rsidRP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от 10 ноября 2022 г. N 2034</w:t>
      </w:r>
    </w:p>
    <w:p w:rsidR="00672C4E" w:rsidRP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080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080">
        <w:rPr>
          <w:rFonts w:ascii="Times New Roman" w:hAnsi="Times New Roman" w:cs="Times New Roman"/>
          <w:b w:val="0"/>
          <w:sz w:val="28"/>
          <w:szCs w:val="28"/>
        </w:rPr>
        <w:t xml:space="preserve">РАЗРАБОТКИ И ФОРМЫ ПАСПОРТА БЕЗОПАСНОСТИ </w:t>
      </w:r>
    </w:p>
    <w:p w:rsidR="00672C4E" w:rsidRP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080">
        <w:rPr>
          <w:rFonts w:ascii="Times New Roman" w:hAnsi="Times New Roman" w:cs="Times New Roman"/>
          <w:b w:val="0"/>
          <w:sz w:val="28"/>
          <w:szCs w:val="28"/>
        </w:rPr>
        <w:t>КРИТИЧЕСКИ</w:t>
      </w:r>
      <w:r w:rsidR="0068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0080">
        <w:rPr>
          <w:rFonts w:ascii="Times New Roman" w:hAnsi="Times New Roman" w:cs="Times New Roman"/>
          <w:b w:val="0"/>
          <w:sz w:val="28"/>
          <w:szCs w:val="28"/>
        </w:rPr>
        <w:t>ВАЖНОГО ОБЪЕКТА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</w:t>
      </w:r>
      <w:r w:rsidRPr="00680080">
        <w:rPr>
          <w:rFonts w:ascii="Times New Roman" w:hAnsi="Times New Roman" w:cs="Times New Roman"/>
          <w:sz w:val="28"/>
          <w:szCs w:val="28"/>
        </w:rPr>
        <w:t>х ситуаций природного и техногенного характера" Правительство Российской Федерации постановляет: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30" w:tooltip="ПРАВИЛА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разработки паспорта безопасности критически важного объекта;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66" w:tooltip="ФОРМА ПАСПОРТА БЕЗОПАСНОСТИ КРИТИЧЕСКИ ВАЖНОГО ОБЪЕКТА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паспорта безопасности критически важного объекта.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2. Реализация полномочий, предусмотренных настоящим постановлением, осуществляется соответствующими федеральными орг</w:t>
      </w:r>
      <w:r w:rsidRPr="00680080">
        <w:rPr>
          <w:rFonts w:ascii="Times New Roman" w:hAnsi="Times New Roman" w:cs="Times New Roman"/>
          <w:sz w:val="28"/>
          <w:szCs w:val="28"/>
        </w:rPr>
        <w:t xml:space="preserve">анами исполнительной власти в пределах установленной штатной численности, а также бюджетных ассигнований, </w:t>
      </w:r>
      <w:bookmarkStart w:id="0" w:name="_GoBack"/>
      <w:bookmarkEnd w:id="0"/>
      <w:r w:rsidRPr="00680080">
        <w:rPr>
          <w:rFonts w:ascii="Times New Roman" w:hAnsi="Times New Roman" w:cs="Times New Roman"/>
          <w:sz w:val="28"/>
          <w:szCs w:val="28"/>
        </w:rPr>
        <w:t xml:space="preserve">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</w:t>
      </w:r>
      <w:r w:rsidRPr="00680080">
        <w:rPr>
          <w:rFonts w:ascii="Times New Roman" w:hAnsi="Times New Roman" w:cs="Times New Roman"/>
          <w:sz w:val="28"/>
          <w:szCs w:val="28"/>
        </w:rPr>
        <w:t>период на руководство и управление в сфере установленных функций.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сентября 2023 г. и действует до 31 августа 2029 г. включительно.</w:t>
      </w:r>
    </w:p>
    <w:p w:rsidR="00672C4E" w:rsidRPr="00680080" w:rsidRDefault="004A2F03" w:rsidP="0068008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80080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672C4E" w:rsidRPr="00680080" w:rsidRDefault="004A2F03" w:rsidP="0068008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80080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672C4E" w:rsidRPr="00680080" w:rsidRDefault="004A2F03" w:rsidP="0068008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80080">
        <w:rPr>
          <w:rFonts w:ascii="Times New Roman" w:hAnsi="Times New Roman" w:cs="Times New Roman"/>
          <w:sz w:val="24"/>
          <w:szCs w:val="28"/>
        </w:rPr>
        <w:t>М.МИШУСТИН</w:t>
      </w:r>
    </w:p>
    <w:p w:rsidR="00680080" w:rsidRDefault="00680080" w:rsidP="0068008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672C4E" w:rsidRP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ПРАВИЛА</w:t>
      </w:r>
    </w:p>
    <w:p w:rsid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 xml:space="preserve">РАЗРАБОТКИ ПАСПОРТА БЕЗОПАСНОСТИ </w:t>
      </w:r>
    </w:p>
    <w:p w:rsidR="00672C4E" w:rsidRPr="00680080" w:rsidRDefault="004A2F03" w:rsidP="0068008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КРИТИЧЕСКИ ВАЖНОГО ОБЪЕКТА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разработки паспорта безопасности критически важного объекта (далее </w:t>
      </w:r>
      <w:r w:rsidRPr="00680080">
        <w:rPr>
          <w:rFonts w:ascii="Times New Roman" w:hAnsi="Times New Roman" w:cs="Times New Roman"/>
          <w:sz w:val="28"/>
          <w:szCs w:val="28"/>
        </w:rPr>
        <w:t>- паспорт безопасности).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2. Паспорт безопасности разрабатывается для решения следующих задач: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а) информационное обеспечение деятельности органов управления единой государственной системы предупреждения и ликвидации чрезвычайных ситуаций природного и техног</w:t>
      </w:r>
      <w:r w:rsidRPr="00680080">
        <w:rPr>
          <w:rFonts w:ascii="Times New Roman" w:hAnsi="Times New Roman" w:cs="Times New Roman"/>
          <w:sz w:val="28"/>
          <w:szCs w:val="28"/>
        </w:rPr>
        <w:t>енного характера;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б) обеспечение планирования мероприятий по предупреждению и ликвидации чрезвычайных ситуаций на критически важном объекте.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3. Паспорта безопасности разрабатываются для объектов, отнесенных к критически важным объектам на основании критериев отнесения объектов всех форм собственности к критически важным объектам, утвержденных в установленном порядке нормативными правовыми актам</w:t>
      </w:r>
      <w:r w:rsidRPr="00680080">
        <w:rPr>
          <w:rFonts w:ascii="Times New Roman" w:hAnsi="Times New Roman" w:cs="Times New Roman"/>
          <w:sz w:val="28"/>
          <w:szCs w:val="28"/>
        </w:rPr>
        <w:t xml:space="preserve">и, принимаемыми в соответствии с </w:t>
      </w:r>
      <w:hyperlink r:id="rId7" w:tooltip="Постановление Правительства РФ от 14.08.2020 N 1225 &quot;Об утверждении Правил разработки критериев отнесения объектов всех форм собственности к критически важным объектам&quot; {КонсультантПлюс}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4. Физические лица (индивидуальные предприниматели) и юридические лица независимо от их организационно-правовой формы, осуществляющие деятельность на территории Российской Федерации, эксплуатирующие критически важные объекты (далее - организация, эксплуати</w:t>
      </w:r>
      <w:r w:rsidRPr="00680080">
        <w:rPr>
          <w:rFonts w:ascii="Times New Roman" w:hAnsi="Times New Roman" w:cs="Times New Roman"/>
          <w:sz w:val="28"/>
          <w:szCs w:val="28"/>
        </w:rPr>
        <w:t xml:space="preserve">рующая критически важный объект), до 1 декабря 2023 г. организуют разработку и утверждение паспортов безопасности для критически важных </w:t>
      </w:r>
      <w:r w:rsidRPr="00680080">
        <w:rPr>
          <w:rFonts w:ascii="Times New Roman" w:hAnsi="Times New Roman" w:cs="Times New Roman"/>
          <w:sz w:val="28"/>
          <w:szCs w:val="28"/>
        </w:rPr>
        <w:lastRenderedPageBreak/>
        <w:t>объектов, принадлежащих им на праве собственности, аренды или ином законном основании, в соответствии с настоящими Прави</w:t>
      </w:r>
      <w:r w:rsidRPr="00680080">
        <w:rPr>
          <w:rFonts w:ascii="Times New Roman" w:hAnsi="Times New Roman" w:cs="Times New Roman"/>
          <w:sz w:val="28"/>
          <w:szCs w:val="28"/>
        </w:rPr>
        <w:t>лами.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 xml:space="preserve">5. Разработка паспорта безопасности осуществляется в соответствии с </w:t>
      </w:r>
      <w:hyperlink w:anchor="P66" w:tooltip="ФОРМА ПАСПОРТА БЕЗОПАСНОСТИ КРИТИЧЕСКИ ВАЖНОГО ОБЪЕКТА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формой</w:t>
        </w:r>
      </w:hyperlink>
      <w:r w:rsidRPr="0068008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10 ноября 2022 г. N 20</w:t>
      </w:r>
      <w:r w:rsidRPr="00680080">
        <w:rPr>
          <w:rFonts w:ascii="Times New Roman" w:hAnsi="Times New Roman" w:cs="Times New Roman"/>
          <w:sz w:val="28"/>
          <w:szCs w:val="28"/>
        </w:rPr>
        <w:t>34 "Об утверждении Правил разработки и формы паспорта безопасности критически важного объекта".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В случае если 2 и более критически важных объекта, принадлежащих одной организации, эксплуатирующей критически важные объекты, размещены на обособленной террито</w:t>
      </w:r>
      <w:r w:rsidRPr="00680080">
        <w:rPr>
          <w:rFonts w:ascii="Times New Roman" w:hAnsi="Times New Roman" w:cs="Times New Roman"/>
          <w:sz w:val="28"/>
          <w:szCs w:val="28"/>
        </w:rPr>
        <w:t>рии (акватории), границы которой установлены в соответствии с законодательством Российской Федерации, либо на смежных территориях, расстояние между которыми составляет менее 500 метров, и являются неотъемлемыми технологическими частями, организация, эксплу</w:t>
      </w:r>
      <w:r w:rsidRPr="00680080">
        <w:rPr>
          <w:rFonts w:ascii="Times New Roman" w:hAnsi="Times New Roman" w:cs="Times New Roman"/>
          <w:sz w:val="28"/>
          <w:szCs w:val="28"/>
        </w:rPr>
        <w:t>атирующая критически важные объекты, вправе разрабатывать единый паспорт безопасности.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 xml:space="preserve">6. Разработка и оформление паспорта безопасности осуществляются с соблюдением требований законодательства Российской Федерации об информации, информационных технологиях </w:t>
      </w:r>
      <w:r w:rsidRPr="00680080">
        <w:rPr>
          <w:rFonts w:ascii="Times New Roman" w:hAnsi="Times New Roman" w:cs="Times New Roman"/>
          <w:sz w:val="28"/>
          <w:szCs w:val="28"/>
        </w:rPr>
        <w:t>и о защите информации, а также законодательства Российской Федерации о государственной и коммерческой тайне.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7. Паспорт безопасности утверждается руководителем (заместителем руководителя) организации, эксплуатирующей критически важный объект, либо руководи</w:t>
      </w:r>
      <w:r w:rsidRPr="00680080">
        <w:rPr>
          <w:rFonts w:ascii="Times New Roman" w:hAnsi="Times New Roman" w:cs="Times New Roman"/>
          <w:sz w:val="28"/>
          <w:szCs w:val="28"/>
        </w:rPr>
        <w:t xml:space="preserve">телем обособленного подразделения юридического лица (в случаях, предусмотренных положениями о таких обособленных подразделениях). После утверждения паспорт безопасности подлежит регистрации и учету в главном управлении Министерства Российской Федерации по </w:t>
      </w:r>
      <w:r w:rsidRPr="00680080">
        <w:rPr>
          <w:rFonts w:ascii="Times New Roman" w:hAnsi="Times New Roman" w:cs="Times New Roman"/>
          <w:sz w:val="28"/>
          <w:szCs w:val="28"/>
        </w:rPr>
        <w:t>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объекта), за исключением паспортов безопасности для критически важных объектов, правообла</w:t>
      </w:r>
      <w:r w:rsidRPr="00680080">
        <w:rPr>
          <w:rFonts w:ascii="Times New Roman" w:hAnsi="Times New Roman" w:cs="Times New Roman"/>
          <w:sz w:val="28"/>
          <w:szCs w:val="28"/>
        </w:rPr>
        <w:t>дателями которых являются Министерство обороны Российской Федерации или Главное управление специальных программ Президента Российской Федерации либо организации, в отношении которых указанные федеральные органы исполнительной власти осуществляют координаци</w:t>
      </w:r>
      <w:r w:rsidRPr="00680080">
        <w:rPr>
          <w:rFonts w:ascii="Times New Roman" w:hAnsi="Times New Roman" w:cs="Times New Roman"/>
          <w:sz w:val="28"/>
          <w:szCs w:val="28"/>
        </w:rPr>
        <w:t>ю и регулирование деятельности в соответствующей отрасли (сфере управления), и последующему размещению в базе данных органа повседневного управления единой государственной системы предупреждения и ликвидации чрезвычайных ситуаций федерального и регионально</w:t>
      </w:r>
      <w:r w:rsidRPr="00680080">
        <w:rPr>
          <w:rFonts w:ascii="Times New Roman" w:hAnsi="Times New Roman" w:cs="Times New Roman"/>
          <w:sz w:val="28"/>
          <w:szCs w:val="28"/>
        </w:rPr>
        <w:t>го уровней.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8. Организация, эксплуатирующая критически важный объект, в срок не более 10 рабочих дней со дня утверждения паспорта безопасности направляет паспорт безопасности в главное управление Министерства Российской Федерации по делам гражданской оборо</w:t>
      </w:r>
      <w:r w:rsidRPr="00680080">
        <w:rPr>
          <w:rFonts w:ascii="Times New Roman" w:hAnsi="Times New Roman" w:cs="Times New Roman"/>
          <w:sz w:val="28"/>
          <w:szCs w:val="28"/>
        </w:rPr>
        <w:t>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 для регистрации.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9. Срок регистрации паспорта безопасности не должен превышать 15 рабочих дней со дня е</w:t>
      </w:r>
      <w:r w:rsidRPr="00680080">
        <w:rPr>
          <w:rFonts w:ascii="Times New Roman" w:hAnsi="Times New Roman" w:cs="Times New Roman"/>
          <w:sz w:val="28"/>
          <w:szCs w:val="28"/>
        </w:rPr>
        <w:t>го получения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После рег</w:t>
      </w:r>
      <w:r w:rsidRPr="00680080">
        <w:rPr>
          <w:rFonts w:ascii="Times New Roman" w:hAnsi="Times New Roman" w:cs="Times New Roman"/>
          <w:sz w:val="28"/>
          <w:szCs w:val="28"/>
        </w:rPr>
        <w:t>истрации паспорт безопасности направляется в организацию, эксплуатирующую критически важный объект, а копия паспорта безопасности хранится в главном управлении Министерства Российской Федерации по делам гражданской обороны, чрезвычайным ситуациям и ликвида</w:t>
      </w:r>
      <w:r w:rsidRPr="00680080">
        <w:rPr>
          <w:rFonts w:ascii="Times New Roman" w:hAnsi="Times New Roman" w:cs="Times New Roman"/>
          <w:sz w:val="28"/>
          <w:szCs w:val="28"/>
        </w:rPr>
        <w:t xml:space="preserve">ции последствий стихийных бедствий по </w:t>
      </w:r>
      <w:r w:rsidRPr="00680080">
        <w:rPr>
          <w:rFonts w:ascii="Times New Roman" w:hAnsi="Times New Roman" w:cs="Times New Roman"/>
          <w:sz w:val="28"/>
          <w:szCs w:val="28"/>
        </w:rPr>
        <w:lastRenderedPageBreak/>
        <w:t>субъекту Российской Федерации (по месту нахождения критически важного объекта).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680080">
        <w:rPr>
          <w:rFonts w:ascii="Times New Roman" w:hAnsi="Times New Roman" w:cs="Times New Roman"/>
          <w:sz w:val="28"/>
          <w:szCs w:val="28"/>
        </w:rPr>
        <w:t>10. Паспорта безопасности в части, касающейся критически важных объектов, правообладателями которых являются Министерство обороны Российск</w:t>
      </w:r>
      <w:r w:rsidRPr="00680080">
        <w:rPr>
          <w:rFonts w:ascii="Times New Roman" w:hAnsi="Times New Roman" w:cs="Times New Roman"/>
          <w:sz w:val="28"/>
          <w:szCs w:val="28"/>
        </w:rPr>
        <w:t>ой Федерации или Главное управление специальных программ Президента Российской Федерации либо организации, в отношении которых указанные федеральные органы исполнительной власти осуществляют координацию и регулирование деятельности в соответствующей отрасл</w:t>
      </w:r>
      <w:r w:rsidRPr="00680080">
        <w:rPr>
          <w:rFonts w:ascii="Times New Roman" w:hAnsi="Times New Roman" w:cs="Times New Roman"/>
          <w:sz w:val="28"/>
          <w:szCs w:val="28"/>
        </w:rPr>
        <w:t>и (сфере управления), подлежат регистрации и учету в соответствующем федеральном органе исполнительной власти.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680080">
        <w:rPr>
          <w:rFonts w:ascii="Times New Roman" w:hAnsi="Times New Roman" w:cs="Times New Roman"/>
          <w:sz w:val="28"/>
          <w:szCs w:val="28"/>
        </w:rPr>
        <w:t>11. Срок действия паспорта безопасности составляет 5 лет со дня регистрации паспорта безопасности в главном управлении Министерства Российской Фе</w:t>
      </w:r>
      <w:r w:rsidRPr="00680080">
        <w:rPr>
          <w:rFonts w:ascii="Times New Roman" w:hAnsi="Times New Roman" w:cs="Times New Roman"/>
          <w:sz w:val="28"/>
          <w:szCs w:val="28"/>
        </w:rPr>
        <w:t>дерации по 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 или в соответствующем федеральном органе исполнительной власти, указа</w:t>
      </w:r>
      <w:r w:rsidRPr="00680080">
        <w:rPr>
          <w:rFonts w:ascii="Times New Roman" w:hAnsi="Times New Roman" w:cs="Times New Roman"/>
          <w:sz w:val="28"/>
          <w:szCs w:val="28"/>
        </w:rPr>
        <w:t xml:space="preserve">нном в </w:t>
      </w:r>
      <w:hyperlink w:anchor="P46" w:tooltip="10. Паспорта безопасности в части, касающейся критически важных объектов, правообладателями которых являются Министерство обороны Российской Федерации или Главное управление специальных программ Президента Российской Федерации либо организации, в отношении кот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12. Паспорт безопасности подлежит обязательному пересмотру: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а) не менее чем за 30 рабочих дней до окончания срока действия паспорта безопасности;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б) не позднее 30 рабочих дней после сме</w:t>
      </w:r>
      <w:r w:rsidRPr="00680080">
        <w:rPr>
          <w:rFonts w:ascii="Times New Roman" w:hAnsi="Times New Roman" w:cs="Times New Roman"/>
          <w:sz w:val="28"/>
          <w:szCs w:val="28"/>
        </w:rPr>
        <w:t>ны организации, эксплуатирующей критически важный объект;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в) на основании предписаний об устранении выявленных нарушений в ходе проведения контрольных (надзорных) мероприятий в отношении организаций, эксплуатирующих критически важные объекты, по соблюдению</w:t>
      </w:r>
      <w:r w:rsidRPr="00680080">
        <w:rPr>
          <w:rFonts w:ascii="Times New Roman" w:hAnsi="Times New Roman" w:cs="Times New Roman"/>
          <w:sz w:val="28"/>
          <w:szCs w:val="28"/>
        </w:rPr>
        <w:t xml:space="preserve"> обязательных требований в области защиты населения и территорий от чрезвычайных ситуаций, установленных Федеральным </w:t>
      </w:r>
      <w:hyperlink r:id="rId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</w:t>
      </w:r>
      <w:r w:rsidRPr="00680080">
        <w:rPr>
          <w:rFonts w:ascii="Times New Roman" w:hAnsi="Times New Roman" w:cs="Times New Roman"/>
          <w:sz w:val="28"/>
          <w:szCs w:val="28"/>
        </w:rPr>
        <w:t xml:space="preserve"> характера".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 xml:space="preserve">13. Срок действия пересмотренного паспорта безопасности соответствует сроку действия, указанному в </w:t>
      </w:r>
      <w:hyperlink w:anchor="P47" w:tooltip="11. Срок действия паспорта безопасности составляет 5 лет со дня регистрации паспорта безопасности в главном управлении Министерства Российской Федерации по делам гражданской обороны, чрезвычайным ситуациям и ликвидации последствий стихийных бедствий по субъект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настоящих Правил, и исчисляется со дня регистрации паспорта безопасности в главном управлении Мини</w:t>
      </w:r>
      <w:r w:rsidRPr="00680080">
        <w:rPr>
          <w:rFonts w:ascii="Times New Roman" w:hAnsi="Times New Roman" w:cs="Times New Roman"/>
          <w:sz w:val="28"/>
          <w:szCs w:val="28"/>
        </w:rPr>
        <w:t>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 или в соответствующем федеральном органе исполн</w:t>
      </w:r>
      <w:r w:rsidRPr="00680080">
        <w:rPr>
          <w:rFonts w:ascii="Times New Roman" w:hAnsi="Times New Roman" w:cs="Times New Roman"/>
          <w:sz w:val="28"/>
          <w:szCs w:val="28"/>
        </w:rPr>
        <w:t xml:space="preserve">ительной власти, указанном в </w:t>
      </w:r>
      <w:hyperlink w:anchor="P46" w:tooltip="10. Паспорта безопасности в части, касающейся критически важных объектов, правообладателями которых являются Министерство обороны Российской Федерации или Главное управление специальных программ Президента Российской Федерации либо организации, в отношении кот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14. Внесение изменений в паспорт безопасности в течение срока действия паспорта безопасности осуществляется по мере необходимости, определяемой организацией, экспл</w:t>
      </w:r>
      <w:r w:rsidRPr="00680080">
        <w:rPr>
          <w:rFonts w:ascii="Times New Roman" w:hAnsi="Times New Roman" w:cs="Times New Roman"/>
          <w:sz w:val="28"/>
          <w:szCs w:val="28"/>
        </w:rPr>
        <w:t>уатирующей критически важный объект, при появлении актуальной информации, учет которой обеспечивает повышение достоверности и полноты сведений, содержащихся в паспорте безопасности.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15. При внесении изменений в паспорт безопасности организация, эксплуатиру</w:t>
      </w:r>
      <w:r w:rsidRPr="00680080">
        <w:rPr>
          <w:rFonts w:ascii="Times New Roman" w:hAnsi="Times New Roman" w:cs="Times New Roman"/>
          <w:sz w:val="28"/>
          <w:szCs w:val="28"/>
        </w:rPr>
        <w:t>ющая критически важный объект, в течение 30 рабочих дней направляет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(по</w:t>
      </w:r>
      <w:r w:rsidRPr="00680080">
        <w:rPr>
          <w:rFonts w:ascii="Times New Roman" w:hAnsi="Times New Roman" w:cs="Times New Roman"/>
          <w:sz w:val="28"/>
          <w:szCs w:val="28"/>
        </w:rPr>
        <w:t xml:space="preserve"> месту нахождения критически важного объекта) или в соответствующий федеральный орган исполнительной власти, указанный в </w:t>
      </w:r>
      <w:hyperlink w:anchor="P46" w:tooltip="10. Паспорта безопасности в части, касающейся критически важных объектов, правообладателями которых являются Министерство обороны Российской Федерации или Главное управление специальных программ Президента Российской Федерации либо организации, в отношении кот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настоящих Правил, уведомление о внесении изменений в паспорт безопасности.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80">
        <w:rPr>
          <w:rFonts w:ascii="Times New Roman" w:hAnsi="Times New Roman" w:cs="Times New Roman"/>
          <w:sz w:val="28"/>
          <w:szCs w:val="28"/>
        </w:rPr>
        <w:t>16. Соответств</w:t>
      </w:r>
      <w:r w:rsidRPr="00680080">
        <w:rPr>
          <w:rFonts w:ascii="Times New Roman" w:hAnsi="Times New Roman" w:cs="Times New Roman"/>
          <w:sz w:val="28"/>
          <w:szCs w:val="28"/>
        </w:rPr>
        <w:t xml:space="preserve">ие паспортов безопасности, разработанных и утвержденных организациями, эксплуатирующими критически важные объекты, требованиям настоящих Правил и </w:t>
      </w:r>
      <w:hyperlink w:anchor="P66" w:tooltip="ФОРМА ПАСПОРТА БЕЗОПАСНОСТИ КРИТИЧЕСКИ ВАЖНОГО ОБЪЕКТА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паспорта безопасно</w:t>
      </w:r>
      <w:r w:rsidRPr="00680080">
        <w:rPr>
          <w:rFonts w:ascii="Times New Roman" w:hAnsi="Times New Roman" w:cs="Times New Roman"/>
          <w:sz w:val="28"/>
          <w:szCs w:val="28"/>
        </w:rPr>
        <w:t xml:space="preserve">сти, утвержденной постановлением Правительства Российской Федерации от 10 ноября 2022 г. N 2034 "Об утверждении </w:t>
      </w:r>
      <w:r w:rsidRPr="00680080">
        <w:rPr>
          <w:rFonts w:ascii="Times New Roman" w:hAnsi="Times New Roman" w:cs="Times New Roman"/>
          <w:sz w:val="28"/>
          <w:szCs w:val="28"/>
        </w:rPr>
        <w:lastRenderedPageBreak/>
        <w:t>Правил разработки и формы паспорта безопасности критически важного объекта", оценивается главным управлением Министерства Российской Федерации п</w:t>
      </w:r>
      <w:r w:rsidRPr="00680080">
        <w:rPr>
          <w:rFonts w:ascii="Times New Roman" w:hAnsi="Times New Roman" w:cs="Times New Roman"/>
          <w:sz w:val="28"/>
          <w:szCs w:val="28"/>
        </w:rPr>
        <w:t xml:space="preserve">о 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 или соответствующим федеральным органом исполнительной власти, указанным в </w:t>
      </w:r>
      <w:hyperlink w:anchor="P46" w:tooltip="10. Паспорта безопасности в части, касающейся критически важных объектов, правообладателями которых являются Министерство обороны Российской Федерации или Главное управление специальных программ Президента Российской Федерации либо организации, в отношении кот">
        <w:r w:rsidRPr="00680080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680080">
        <w:rPr>
          <w:rFonts w:ascii="Times New Roman" w:hAnsi="Times New Roman" w:cs="Times New Roman"/>
          <w:sz w:val="28"/>
          <w:szCs w:val="28"/>
        </w:rPr>
        <w:t xml:space="preserve"> настоящих Правил, в ходе рассмотрения и регистрации паспорта безопасности, а также при осуществлении федерального государственного надзора в области защиты населения и территорий от чрезвычайных ситуаций.</w:t>
      </w:r>
    </w:p>
    <w:p w:rsidR="00672C4E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080" w:rsidRPr="00680080" w:rsidRDefault="00680080" w:rsidP="0068008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C4E" w:rsidRPr="00680080" w:rsidRDefault="004A2F03" w:rsidP="00680080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680080">
        <w:rPr>
          <w:rFonts w:ascii="Times New Roman" w:hAnsi="Times New Roman" w:cs="Times New Roman"/>
          <w:sz w:val="28"/>
          <w:szCs w:val="28"/>
        </w:rPr>
        <w:t>ФОРМА ПАСПОРТА БЕЗОПАСНОСТИ КРИТИЧЕСКИ ВАЖНОГО ОБЪЕКТА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0"/>
        <w:gridCol w:w="1022"/>
        <w:gridCol w:w="5613"/>
      </w:tblGrid>
      <w:tr w:rsidR="00672C4E" w:rsidRPr="00680080" w:rsidTr="006800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2C4E" w:rsidRPr="00680080" w:rsidRDefault="00680080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A2F03" w:rsidRPr="00680080">
              <w:rPr>
                <w:rFonts w:ascii="Times New Roman" w:hAnsi="Times New Roman" w:cs="Times New Roman"/>
                <w:sz w:val="24"/>
                <w:szCs w:val="24"/>
              </w:rPr>
              <w:t>(пометка или гриф)</w:t>
            </w:r>
          </w:p>
        </w:tc>
      </w:tr>
      <w:tr w:rsidR="00672C4E" w:rsidRPr="00680080" w:rsidTr="00680080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до "__" __________ 20__ г.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0"/>
        <w:gridCol w:w="7445"/>
      </w:tblGrid>
      <w:tr w:rsidR="00672C4E" w:rsidRPr="00680080" w:rsidTr="00680080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Дата и номер регистрации:</w:t>
            </w:r>
          </w:p>
        </w:tc>
        <w:tc>
          <w:tcPr>
            <w:tcW w:w="7445" w:type="dxa"/>
            <w:tcBorders>
              <w:top w:val="nil"/>
              <w:left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10835" w:type="dxa"/>
            <w:gridSpan w:val="2"/>
            <w:tcBorders>
              <w:top w:val="nil"/>
              <w:left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blPrEx>
          <w:tblBorders>
            <w:insideH w:val="single" w:sz="4" w:space="0" w:color="auto"/>
          </w:tblBorders>
        </w:tblPrEx>
        <w:tc>
          <w:tcPr>
            <w:tcW w:w="108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(указываются дата и номер регистрации в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(по месту нахождения критически важного объекта)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6"/>
        <w:gridCol w:w="1709"/>
        <w:gridCol w:w="1753"/>
        <w:gridCol w:w="539"/>
        <w:gridCol w:w="3378"/>
      </w:tblGrid>
      <w:tr w:rsidR="00672C4E" w:rsidRPr="00680080" w:rsidTr="00680080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72C4E" w:rsidRPr="00680080" w:rsidTr="00680080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(руководитель организации, эксплуатирующей критически важный объект)</w:t>
            </w:r>
          </w:p>
        </w:tc>
      </w:tr>
      <w:tr w:rsidR="00672C4E" w:rsidRPr="00680080" w:rsidTr="00680080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72C4E" w:rsidRPr="00680080" w:rsidTr="00680080"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940"/>
        <w:gridCol w:w="1410"/>
        <w:gridCol w:w="3225"/>
        <w:gridCol w:w="780"/>
        <w:gridCol w:w="1492"/>
        <w:gridCol w:w="142"/>
      </w:tblGrid>
      <w:tr w:rsidR="00672C4E" w:rsidRPr="00680080" w:rsidTr="00680080">
        <w:tc>
          <w:tcPr>
            <w:tcW w:w="10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критически важного объекта</w:t>
            </w:r>
          </w:p>
        </w:tc>
      </w:tr>
      <w:tr w:rsidR="00672C4E" w:rsidRPr="00680080" w:rsidTr="00680080">
        <w:tc>
          <w:tcPr>
            <w:tcW w:w="10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10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(наименование критически важного объекта)</w:t>
            </w:r>
          </w:p>
        </w:tc>
      </w:tr>
      <w:tr w:rsidR="00672C4E" w:rsidRPr="00680080" w:rsidTr="00680080">
        <w:tc>
          <w:tcPr>
            <w:tcW w:w="10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10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эксплуатирующей критически важный объект (далее - организация)</w:t>
            </w:r>
          </w:p>
        </w:tc>
      </w:tr>
      <w:tr w:rsidR="00672C4E" w:rsidRPr="00680080" w:rsidTr="00680080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(населенный пункт)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(год разработки паспорта)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10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709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1. Общие сведения о критически важном объекте</w:t>
            </w:r>
          </w:p>
        </w:tc>
      </w:tr>
      <w:tr w:rsidR="00672C4E" w:rsidRPr="00680080" w:rsidTr="00680080">
        <w:trPr>
          <w:gridAfter w:val="1"/>
          <w:wAfter w:w="142" w:type="dxa"/>
        </w:trPr>
        <w:tc>
          <w:tcPr>
            <w:tcW w:w="10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1.1. Краткие сведения об организации (юридическом или физическом лице (индивидуальном 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предпринимателе), которой принадлежит на праве собственности, аренды или на ином законном основании критически важный объект: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1.1.1. полное и сокращенное наименование орг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анизации: ____________ и официальный адрес электронной почты: ______________________________________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1.1.2. телефоны должностных лиц подразделений организации, обеспечивающих деятельность организации в области защиты населения и территорий от чрезвычайных 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ситуаций природного и техногенного характера,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чрезвычайной ситуации (таблица 1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2C4E" w:rsidRPr="00680080">
        <w:trPr>
          <w:gridAfter w:val="2"/>
          <w:wAfter w:w="1634" w:type="dxa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214"/>
        <w:gridCol w:w="1841"/>
        <w:gridCol w:w="3787"/>
      </w:tblGrid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1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 организации</w:t>
            </w:r>
          </w:p>
        </w:tc>
        <w:tc>
          <w:tcPr>
            <w:tcW w:w="184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8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Телефон (городской, служебный)</w:t>
            </w: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организации)</w:t>
            </w: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3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организации)</w:t>
            </w: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c>
          <w:tcPr>
            <w:tcW w:w="7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9842" w:type="dxa"/>
            <w:gridSpan w:val="3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672C4E" w:rsidRPr="00680080" w:rsidTr="00680080"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1.1.3. основной государственный регистрационный номер организации (ОГРН, ОГРНИП):</w:t>
            </w:r>
          </w:p>
        </w:tc>
      </w:tr>
      <w:tr w:rsidR="00672C4E" w:rsidRPr="00680080" w:rsidTr="00680080">
        <w:tc>
          <w:tcPr>
            <w:tcW w:w="10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680080">
        <w:tblPrEx>
          <w:tblBorders>
            <w:insideH w:val="single" w:sz="4" w:space="0" w:color="auto"/>
          </w:tblBorders>
        </w:tblPrEx>
        <w:tc>
          <w:tcPr>
            <w:tcW w:w="10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1.2. Сведения об адресе (месте нахождения) критически важного объекта (таблица 2)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672C4E" w:rsidRPr="00680080" w:rsidTr="00680080"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1699"/>
        <w:gridCol w:w="1976"/>
        <w:gridCol w:w="5490"/>
      </w:tblGrid>
      <w:tr w:rsidR="00672C4E" w:rsidRPr="00680080" w:rsidTr="00680080">
        <w:tc>
          <w:tcPr>
            <w:tcW w:w="124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</w:t>
            </w:r>
          </w:p>
        </w:tc>
        <w:tc>
          <w:tcPr>
            <w:tcW w:w="169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976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код по </w:t>
            </w: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      <w:r w:rsidRPr="006800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64" w:tooltip="&lt;1&gt; ОКТМО - Общероссийский классификатор территорий муниципальных образований.">
              <w:r w:rsidRPr="006800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49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земельного участка критически важного объекта (на основании данных Единого государственного реестра недвижимости)</w:t>
            </w:r>
          </w:p>
        </w:tc>
      </w:tr>
      <w:tr w:rsidR="00672C4E" w:rsidRPr="00680080" w:rsidTr="00680080">
        <w:tc>
          <w:tcPr>
            <w:tcW w:w="124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C4E" w:rsidRPr="00680080" w:rsidTr="00680080">
        <w:tc>
          <w:tcPr>
            <w:tcW w:w="124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  <w:gridCol w:w="74"/>
      </w:tblGrid>
      <w:tr w:rsidR="00672C4E" w:rsidRPr="00680080" w:rsidTr="00680080">
        <w:tc>
          <w:tcPr>
            <w:tcW w:w="10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 Сведения о силах и средствах организации, предназначенных для предупреждения и ликвидации чрезвычайных ситуаций</w:t>
            </w:r>
          </w:p>
        </w:tc>
      </w:tr>
      <w:tr w:rsidR="00672C4E" w:rsidRPr="00680080" w:rsidTr="00680080">
        <w:tc>
          <w:tcPr>
            <w:tcW w:w="10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2.1. Сведения о наличии в организации профессиональных аварийно-спасательных служб (формирований), нештатных аварийно-спасательных формирований, нештатных формирований по обеспечению выполнения мероприятий по гражданской обороне: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сведения о професси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ональных аварийно-спасательных службах (формированиях) организации (таблица 3)</w:t>
            </w:r>
          </w:p>
        </w:tc>
      </w:tr>
      <w:tr w:rsidR="00672C4E" w:rsidRPr="00680080" w:rsidTr="00680080">
        <w:trPr>
          <w:gridAfter w:val="1"/>
          <w:wAfter w:w="74" w:type="dxa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680080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A2F03" w:rsidRPr="00680080"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989"/>
        <w:gridCol w:w="1098"/>
        <w:gridCol w:w="1704"/>
        <w:gridCol w:w="2601"/>
        <w:gridCol w:w="3480"/>
      </w:tblGrid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службы (формирования)</w:t>
            </w:r>
          </w:p>
        </w:tc>
        <w:tc>
          <w:tcPr>
            <w:tcW w:w="109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Штат службы (формирования) (человек)</w:t>
            </w:r>
          </w:p>
        </w:tc>
        <w:tc>
          <w:tcPr>
            <w:tcW w:w="170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приказа о создании службы (формирования) организации</w:t>
            </w:r>
          </w:p>
        </w:tc>
        <w:tc>
          <w:tcPr>
            <w:tcW w:w="260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Реквизи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ты свидетельства об аттестации службы (формирования) на право ведения аварийно-спасательных работ (дата, регистрационный номер, срок действия)</w:t>
            </w:r>
          </w:p>
        </w:tc>
        <w:tc>
          <w:tcPr>
            <w:tcW w:w="348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Перечень видов аварийно-спасательных работ, на ведение которых аттестована служба (формирование)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2.1.2. сведения о нештатных аварийно-спасательных формированиях организации (таблица 4)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680080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03" w:rsidRPr="00680080">
              <w:rPr>
                <w:rFonts w:ascii="Times New Roman" w:hAnsi="Times New Roman" w:cs="Times New Roman"/>
                <w:sz w:val="24"/>
                <w:szCs w:val="24"/>
              </w:rPr>
              <w:t>Таблица 4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989"/>
        <w:gridCol w:w="1098"/>
        <w:gridCol w:w="1704"/>
        <w:gridCol w:w="2601"/>
        <w:gridCol w:w="3480"/>
      </w:tblGrid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09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Штат формирования (человек)</w:t>
            </w:r>
          </w:p>
        </w:tc>
        <w:tc>
          <w:tcPr>
            <w:tcW w:w="170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приказа о создании формирования</w:t>
            </w:r>
          </w:p>
        </w:tc>
        <w:tc>
          <w:tcPr>
            <w:tcW w:w="260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об аттестации формирования на право ведения аварийно-спасательных работ (дата, регистрационный номер, срок действия)</w:t>
            </w:r>
          </w:p>
        </w:tc>
        <w:tc>
          <w:tcPr>
            <w:tcW w:w="348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Перечень видов аварийно-спасательных работ, на ведение которых аттестовано формирование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2.1.3. сведения о нештатных формированиях по обеспечению выполнения мероприятий по гражданской обороне организации, предназначенных для предупреждения и ликвидации чрезвычайных ситуаций (таблица 5)</w:t>
            </w:r>
          </w:p>
        </w:tc>
      </w:tr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17"/>
        <w:gridCol w:w="1560"/>
        <w:gridCol w:w="2427"/>
        <w:gridCol w:w="4335"/>
      </w:tblGrid>
      <w:tr w:rsidR="00672C4E" w:rsidRPr="00680080" w:rsidTr="00680080">
        <w:tc>
          <w:tcPr>
            <w:tcW w:w="57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1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56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Штат формиро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вания (человек)</w:t>
            </w:r>
          </w:p>
        </w:tc>
        <w:tc>
          <w:tcPr>
            <w:tcW w:w="242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приказа о создании формирования</w:t>
            </w:r>
          </w:p>
        </w:tc>
        <w:tc>
          <w:tcPr>
            <w:tcW w:w="433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Перечень выполняемых формированием не связанных с угрозой жизни и здоровью людей неотложных работ при ликвидации чрезвычайных ситуаций</w:t>
            </w:r>
          </w:p>
        </w:tc>
      </w:tr>
      <w:tr w:rsidR="00672C4E" w:rsidRPr="00680080" w:rsidTr="00680080">
        <w:tc>
          <w:tcPr>
            <w:tcW w:w="57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C4E" w:rsidRPr="00680080" w:rsidTr="00680080">
        <w:tc>
          <w:tcPr>
            <w:tcW w:w="57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2.2. Сведения о наличии в организации локальных (объектовых) систем оповещения и 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 работников критически важного объекта и населения, попадающих в зоны чрезвычайных ситуаций, о поражающих факторах критически важного объекта (таблица 6)</w:t>
            </w:r>
          </w:p>
        </w:tc>
      </w:tr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ца 6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445"/>
        <w:gridCol w:w="1555"/>
        <w:gridCol w:w="1526"/>
        <w:gridCol w:w="1671"/>
        <w:gridCol w:w="3675"/>
      </w:tblGrid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4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оповещения</w:t>
            </w:r>
          </w:p>
        </w:tc>
        <w:tc>
          <w:tcPr>
            <w:tcW w:w="155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используемой аппаратуры оповещения</w:t>
            </w:r>
          </w:p>
        </w:tc>
        <w:tc>
          <w:tcPr>
            <w:tcW w:w="1526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используемой аппаратуры оповещения (единиц)</w:t>
            </w:r>
          </w:p>
        </w:tc>
        <w:tc>
          <w:tcPr>
            <w:tcW w:w="167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Адрес (место установки) используемой аппаратуры оповещения</w:t>
            </w:r>
          </w:p>
        </w:tc>
        <w:tc>
          <w:tcPr>
            <w:tcW w:w="367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Сопряженность локальной (объектовой) системы оповещения с ТАСЦО </w:t>
            </w:r>
            <w:hyperlink w:anchor="P365" w:tooltip="&lt;2&gt; ТАСЦО - территориальная автоматизированная система централизованного оповещения.">
              <w:r w:rsidRPr="006800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 (РАСЦО </w:t>
            </w:r>
            <w:hyperlink w:anchor="P366" w:tooltip="&lt;3&gt; РАСЦО - региональная автоматизированная система централизованного оповещения.">
              <w:r w:rsidRPr="0068008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) (да/нет)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2.3. Сведения о наличии в организации резервных источников (электроснабжения, водоснабжения, теплоснабжения, газоснабжения), обеспечивающих функционирование критически важного объекта при возникновении чрезвычайной ситуации: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2.3.1. сведения о функционирующ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их резервных источниках электроснабжения (таблица 7)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7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550"/>
        <w:gridCol w:w="2410"/>
        <w:gridCol w:w="1843"/>
        <w:gridCol w:w="4069"/>
      </w:tblGrid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резервного источника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Предназначение и краткая характеристика резервного источника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Количество резервных источников (единиц)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Перечень зданий (сооружений), где размещены рез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ервные источники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  <w:gridCol w:w="142"/>
      </w:tblGrid>
      <w:tr w:rsidR="00672C4E" w:rsidRPr="00680080" w:rsidTr="00680080">
        <w:tc>
          <w:tcPr>
            <w:tcW w:w="10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2.3.2. сведения о функционирующих резервных источниках водоснабжения (таблица 8)</w:t>
            </w:r>
          </w:p>
        </w:tc>
      </w:tr>
      <w:tr w:rsidR="00672C4E" w:rsidRPr="00680080" w:rsidTr="00680080">
        <w:trPr>
          <w:gridAfter w:val="1"/>
          <w:wAfter w:w="142" w:type="dxa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8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550"/>
        <w:gridCol w:w="2410"/>
        <w:gridCol w:w="1843"/>
        <w:gridCol w:w="4069"/>
      </w:tblGrid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резервного источника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Предназначение и краткая характеристика резервного источника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Количество резервных источников (единиц)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Перечень зданий (сооружений), где размещены резервные источники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2.3.3. сведения о функционирующих резервных источниках теплоснабжения (таблица 9)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72C4E" w:rsidRPr="00680080" w:rsidTr="00680080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9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550"/>
        <w:gridCol w:w="2410"/>
        <w:gridCol w:w="1843"/>
        <w:gridCol w:w="4069"/>
      </w:tblGrid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резервного источника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Предназначение и краткая характеристика 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резервного источника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резервных источников 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(единиц)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зданий (сооружений), где размещены резервные источники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C4E" w:rsidRPr="00680080" w:rsidTr="00680080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680080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2.3.4. сведения о функционирующих резервных источниках газоснабжения (таблица 10)</w:t>
            </w:r>
          </w:p>
        </w:tc>
      </w:tr>
      <w:tr w:rsidR="00672C4E" w:rsidRPr="00680080" w:rsidTr="00F66233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10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550"/>
        <w:gridCol w:w="2410"/>
        <w:gridCol w:w="1843"/>
        <w:gridCol w:w="4069"/>
      </w:tblGrid>
      <w:tr w:rsidR="00672C4E" w:rsidRPr="00680080" w:rsidTr="00F66233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резервного источника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Предназначение и краткая характеристика резервного источника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Количество резервных источников (единиц)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Перечень зданий (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сооружений), где размещены резервные источники</w:t>
            </w:r>
          </w:p>
        </w:tc>
      </w:tr>
      <w:tr w:rsidR="00672C4E" w:rsidRPr="00680080" w:rsidTr="00F66233">
        <w:tc>
          <w:tcPr>
            <w:tcW w:w="538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C4E" w:rsidRPr="00680080" w:rsidTr="00F66233">
        <w:tc>
          <w:tcPr>
            <w:tcW w:w="538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F66233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2.4. Сведения о создании и наличии в организации резервов финансовых и материальных ресурсов для ликвидации чрезвычайных ситуаций: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2.4.1. наименование, дата принятия и номер организационно-распорядительного документа, регламентирующего создание резерва финансовых ресурсов: ____________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2.4.2. наименование, дата принятия и номер организационно-распорядительного документа, регламентирую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щего создание резерва материальных ресурсов: __________</w:t>
            </w:r>
          </w:p>
          <w:p w:rsidR="00672C4E" w:rsidRPr="00680080" w:rsidRDefault="004A2F03" w:rsidP="00680080">
            <w:pPr>
              <w:pStyle w:val="ConsPlusNormal0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2.5. Сведения о пожарной охране организации (таблица 11)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72C4E" w:rsidRPr="00680080" w:rsidTr="00F66233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C4E" w:rsidRPr="00680080" w:rsidRDefault="004A2F03" w:rsidP="00680080">
            <w:pPr>
              <w:pStyle w:val="ConsPlusNormal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11</w:t>
            </w: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544"/>
        <w:gridCol w:w="7295"/>
      </w:tblGrid>
      <w:tr w:rsidR="00672C4E" w:rsidRPr="00680080" w:rsidTr="00F66233">
        <w:tc>
          <w:tcPr>
            <w:tcW w:w="57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4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Вид пожарной охраны объекта</w:t>
            </w:r>
          </w:p>
        </w:tc>
        <w:tc>
          <w:tcPr>
            <w:tcW w:w="729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(пожарно-спасательной (пожарной) части) по обеспечению пожарной охран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ы объекта</w:t>
            </w:r>
          </w:p>
        </w:tc>
      </w:tr>
      <w:tr w:rsidR="00672C4E" w:rsidRPr="00680080" w:rsidTr="00F66233">
        <w:tc>
          <w:tcPr>
            <w:tcW w:w="571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2C4E" w:rsidRPr="00680080" w:rsidTr="00F66233">
        <w:tc>
          <w:tcPr>
            <w:tcW w:w="571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F66233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F66233">
        <w:rPr>
          <w:rFonts w:ascii="Times New Roman" w:hAnsi="Times New Roman" w:cs="Times New Roman"/>
          <w:sz w:val="22"/>
          <w:szCs w:val="24"/>
        </w:rPr>
        <w:t>--------------------------------</w:t>
      </w:r>
    </w:p>
    <w:p w:rsidR="00672C4E" w:rsidRPr="00F66233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2"/>
          <w:szCs w:val="24"/>
        </w:rPr>
      </w:pPr>
      <w:bookmarkStart w:id="5" w:name="P364"/>
      <w:bookmarkEnd w:id="5"/>
      <w:r w:rsidRPr="00F66233">
        <w:rPr>
          <w:rFonts w:ascii="Times New Roman" w:hAnsi="Times New Roman" w:cs="Times New Roman"/>
          <w:sz w:val="22"/>
          <w:szCs w:val="24"/>
        </w:rPr>
        <w:t xml:space="preserve">&lt;1&gt; ОКТМО - Общероссийский </w:t>
      </w:r>
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F66233">
          <w:rPr>
            <w:rFonts w:ascii="Times New Roman" w:hAnsi="Times New Roman" w:cs="Times New Roman"/>
            <w:color w:val="0000FF"/>
            <w:sz w:val="22"/>
            <w:szCs w:val="24"/>
          </w:rPr>
          <w:t>классификатор</w:t>
        </w:r>
      </w:hyperlink>
      <w:r w:rsidRPr="00F66233">
        <w:rPr>
          <w:rFonts w:ascii="Times New Roman" w:hAnsi="Times New Roman" w:cs="Times New Roman"/>
          <w:sz w:val="22"/>
          <w:szCs w:val="24"/>
        </w:rPr>
        <w:t xml:space="preserve"> территорий муниципальных образований.</w:t>
      </w:r>
    </w:p>
    <w:p w:rsidR="00672C4E" w:rsidRPr="00F66233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2"/>
          <w:szCs w:val="24"/>
        </w:rPr>
      </w:pPr>
      <w:bookmarkStart w:id="6" w:name="P365"/>
      <w:bookmarkEnd w:id="6"/>
      <w:r w:rsidRPr="00F66233">
        <w:rPr>
          <w:rFonts w:ascii="Times New Roman" w:hAnsi="Times New Roman" w:cs="Times New Roman"/>
          <w:sz w:val="22"/>
          <w:szCs w:val="24"/>
        </w:rPr>
        <w:t>&lt;2&gt; ТАСЦО - территориальная автоматизированная система централизованного оповещения.</w:t>
      </w:r>
    </w:p>
    <w:p w:rsidR="00672C4E" w:rsidRPr="00F66233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2"/>
          <w:szCs w:val="24"/>
        </w:rPr>
      </w:pPr>
      <w:bookmarkStart w:id="7" w:name="P366"/>
      <w:bookmarkEnd w:id="7"/>
      <w:r w:rsidRPr="00F66233">
        <w:rPr>
          <w:rFonts w:ascii="Times New Roman" w:hAnsi="Times New Roman" w:cs="Times New Roman"/>
          <w:sz w:val="22"/>
          <w:szCs w:val="24"/>
        </w:rPr>
        <w:t>&lt;3&gt; РАСЦО - региональная автоматизированная система централизо</w:t>
      </w:r>
      <w:r w:rsidRPr="00F66233">
        <w:rPr>
          <w:rFonts w:ascii="Times New Roman" w:hAnsi="Times New Roman" w:cs="Times New Roman"/>
          <w:sz w:val="22"/>
          <w:szCs w:val="24"/>
        </w:rPr>
        <w:t>ванного оповещения.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 xml:space="preserve">Примечания: 1. </w:t>
      </w:r>
      <w:hyperlink w:anchor="P381" w:tooltip="СПИСОК">
        <w:r w:rsidRPr="00680080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680080"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паспорт безопасности критически важного объекта, является приложением к паспорту безопасности критически важного объекта (неотъемлемой частью паспорта безопасности критически важного объекта).</w:t>
      </w:r>
    </w:p>
    <w:p w:rsidR="00672C4E" w:rsidRPr="00680080" w:rsidRDefault="004A2F03" w:rsidP="0068008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>2. При разработке и формировании</w:t>
      </w:r>
      <w:r w:rsidRPr="00680080">
        <w:rPr>
          <w:rFonts w:ascii="Times New Roman" w:hAnsi="Times New Roman" w:cs="Times New Roman"/>
          <w:sz w:val="24"/>
          <w:szCs w:val="24"/>
        </w:rPr>
        <w:t xml:space="preserve"> паспорта безопасности критически важного объекта разрешается включать дополнительную информацию с учетом особенностей критически важных объектов, а также отраслевой и организационной специфики, условий функционирования организаций, эксплуатирующих критиче</w:t>
      </w:r>
      <w:r w:rsidRPr="00680080">
        <w:rPr>
          <w:rFonts w:ascii="Times New Roman" w:hAnsi="Times New Roman" w:cs="Times New Roman"/>
          <w:sz w:val="24"/>
          <w:szCs w:val="24"/>
        </w:rPr>
        <w:t>ски важные объекты, и решаемых ими задач, особенностей критически важных объектов.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4A2F03" w:rsidP="00680080">
      <w:pPr>
        <w:pStyle w:val="ConsPlusNormal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2C4E" w:rsidRPr="00680080" w:rsidRDefault="004A2F03" w:rsidP="0068008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>к паспорту безопасности</w:t>
      </w:r>
    </w:p>
    <w:p w:rsidR="00672C4E" w:rsidRPr="00680080" w:rsidRDefault="004A2F03" w:rsidP="0068008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>критически важного объекта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4A2F03" w:rsidP="00680080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>(форма)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4A2F03" w:rsidP="00680080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81"/>
      <w:bookmarkEnd w:id="8"/>
      <w:r w:rsidRPr="00680080">
        <w:rPr>
          <w:rFonts w:ascii="Times New Roman" w:hAnsi="Times New Roman" w:cs="Times New Roman"/>
          <w:sz w:val="24"/>
          <w:szCs w:val="24"/>
        </w:rPr>
        <w:t>СПИСОК</w:t>
      </w:r>
    </w:p>
    <w:p w:rsidR="00672C4E" w:rsidRPr="00680080" w:rsidRDefault="004A2F03" w:rsidP="00680080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>изменений, которые вносятся в паспорт безопасности</w:t>
      </w:r>
    </w:p>
    <w:p w:rsidR="00672C4E" w:rsidRPr="00680080" w:rsidRDefault="004A2F03" w:rsidP="00680080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0080">
        <w:rPr>
          <w:rFonts w:ascii="Times New Roman" w:hAnsi="Times New Roman" w:cs="Times New Roman"/>
          <w:sz w:val="24"/>
          <w:szCs w:val="24"/>
        </w:rPr>
        <w:t>критически важного объекта</w:t>
      </w: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2150"/>
        <w:gridCol w:w="1987"/>
        <w:gridCol w:w="1133"/>
        <w:gridCol w:w="994"/>
        <w:gridCol w:w="2875"/>
      </w:tblGrid>
      <w:tr w:rsidR="00672C4E" w:rsidRPr="00680080" w:rsidTr="00F66233">
        <w:tc>
          <w:tcPr>
            <w:tcW w:w="10694" w:type="dxa"/>
            <w:gridSpan w:val="6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Таблица ре</w:t>
            </w: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гистрации изменений</w:t>
            </w: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1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изменения внесены (должность, фамилия, инициалы)</w:t>
            </w:r>
          </w:p>
        </w:tc>
        <w:tc>
          <w:tcPr>
            <w:tcW w:w="198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изменения внесены на лист (листы)</w:t>
            </w:r>
          </w:p>
        </w:tc>
        <w:tc>
          <w:tcPr>
            <w:tcW w:w="113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9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7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:rsidR="00672C4E" w:rsidRPr="00680080" w:rsidRDefault="004A2F03" w:rsidP="00680080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4E" w:rsidRPr="00680080" w:rsidTr="00F66233">
        <w:tc>
          <w:tcPr>
            <w:tcW w:w="155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2C4E" w:rsidRPr="00680080" w:rsidRDefault="00672C4E" w:rsidP="0068008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672C4E" w:rsidP="00680080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C4E" w:rsidRPr="00680080" w:rsidRDefault="00672C4E" w:rsidP="00680080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72C4E" w:rsidRPr="00680080" w:rsidSect="00680080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03" w:rsidRDefault="004A2F03">
      <w:r>
        <w:separator/>
      </w:r>
    </w:p>
  </w:endnote>
  <w:endnote w:type="continuationSeparator" w:id="0">
    <w:p w:rsidR="004A2F03" w:rsidRDefault="004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03" w:rsidRDefault="004A2F03">
      <w:r>
        <w:separator/>
      </w:r>
    </w:p>
  </w:footnote>
  <w:footnote w:type="continuationSeparator" w:id="0">
    <w:p w:rsidR="004A2F03" w:rsidRDefault="004A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C4E"/>
    <w:rsid w:val="004A2F03"/>
    <w:rsid w:val="00672C4E"/>
    <w:rsid w:val="00680080"/>
    <w:rsid w:val="00F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0EF38-2956-4FF7-BB46-28A73A2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80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080"/>
  </w:style>
  <w:style w:type="paragraph" w:styleId="a5">
    <w:name w:val="footer"/>
    <w:basedOn w:val="a"/>
    <w:link w:val="a6"/>
    <w:uiPriority w:val="99"/>
    <w:unhideWhenUsed/>
    <w:rsid w:val="0068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02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10.11.2022 N 2034
"Об утверждении Правил разработки и формы паспорта безопасности критически важного объекта"</vt:lpstr>
    </vt:vector>
  </TitlesOfParts>
  <Company>КонсультантПлюс Версия 4024.00.32</Company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10.11.2022 N 2034
"Об утверждении Правил разработки и формы паспорта безопасности критически важного объекта"</dc:title>
  <cp:lastModifiedBy>Васильев Владимир Аркадьевич</cp:lastModifiedBy>
  <cp:revision>3</cp:revision>
  <dcterms:created xsi:type="dcterms:W3CDTF">2024-10-24T08:51:00Z</dcterms:created>
  <dcterms:modified xsi:type="dcterms:W3CDTF">2024-10-24T09:03:00Z</dcterms:modified>
</cp:coreProperties>
</file>