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C4" w:rsidRPr="00D3319D" w:rsidRDefault="003501DF">
      <w:pPr>
        <w:pStyle w:val="ConsPlusTitle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3319D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:rsidR="008451C4" w:rsidRPr="00E67174" w:rsidRDefault="008451C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8451C4" w:rsidRPr="00E67174" w:rsidRDefault="003501D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51C4" w:rsidRPr="00E67174" w:rsidRDefault="003501D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от 27 апреля 2024 г. N 546</w:t>
      </w:r>
    </w:p>
    <w:p w:rsidR="008451C4" w:rsidRPr="00D3319D" w:rsidRDefault="008451C4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51C4" w:rsidRPr="00D3319D" w:rsidRDefault="003501D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19D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8451C4" w:rsidRPr="00D3319D" w:rsidRDefault="003501D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19D">
        <w:rPr>
          <w:rFonts w:ascii="Times New Roman" w:hAnsi="Times New Roman" w:cs="Times New Roman"/>
          <w:b w:val="0"/>
          <w:sz w:val="28"/>
          <w:szCs w:val="28"/>
        </w:rPr>
        <w:t>ОТНЕСЕНИЯ ОРГАНИЗАЦИЙ К КАТЕГОРИЯМ ПО ГРАЖДАНСКОЙ ОБОРОНЕ</w:t>
      </w:r>
    </w:p>
    <w:p w:rsidR="008451C4" w:rsidRPr="00D3319D" w:rsidRDefault="003501D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19D">
        <w:rPr>
          <w:rFonts w:ascii="Times New Roman" w:hAnsi="Times New Roman" w:cs="Times New Roman"/>
          <w:b w:val="0"/>
          <w:sz w:val="28"/>
          <w:szCs w:val="28"/>
        </w:rPr>
        <w:t>В ЗАВИСИМОСТИ ОТ РОЛИ В ЭКОНОМИКЕ ГОСУДАРСТВА ИЛИ ВЛИЯНИЯ</w:t>
      </w:r>
    </w:p>
    <w:p w:rsidR="008451C4" w:rsidRPr="00D3319D" w:rsidRDefault="003501DF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19D">
        <w:rPr>
          <w:rFonts w:ascii="Times New Roman" w:hAnsi="Times New Roman" w:cs="Times New Roman"/>
          <w:b w:val="0"/>
          <w:sz w:val="28"/>
          <w:szCs w:val="28"/>
        </w:rPr>
        <w:t>НА БЕЗОПАСНОСТЬ НАСЕЛЕНИЯ</w:t>
      </w:r>
    </w:p>
    <w:p w:rsidR="008451C4" w:rsidRPr="00E67174" w:rsidRDefault="008451C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1C4" w:rsidRPr="00E67174" w:rsidRDefault="003501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В соответстви</w:t>
      </w:r>
      <w:r w:rsidRPr="00E67174">
        <w:rPr>
          <w:rFonts w:ascii="Times New Roman" w:hAnsi="Times New Roman" w:cs="Times New Roman"/>
          <w:sz w:val="28"/>
          <w:szCs w:val="28"/>
        </w:rPr>
        <w:t xml:space="preserve">и со </w:t>
      </w:r>
      <w:hyperlink r:id="rId6" w:tooltip="Федеральный закон от 12.02.1998 N 28-ФЗ (ред. от 08.08.2024) &quot;О гражданской обороне&quot; {КонсультантПлюс}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гражданской оборон</w:t>
      </w:r>
      <w:r w:rsidRPr="00E67174">
        <w:rPr>
          <w:rFonts w:ascii="Times New Roman" w:hAnsi="Times New Roman" w:cs="Times New Roman"/>
          <w:sz w:val="28"/>
          <w:szCs w:val="28"/>
        </w:rPr>
        <w:t>е" Правительство Российской Федерации постановляет: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8" w:tooltip="ПРАВИЛА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отнесения организаций к категориям по гражданской обороне в зависимости от роли в экономике государства или влияния на безопасность </w:t>
      </w:r>
      <w:r w:rsidRPr="00E67174">
        <w:rPr>
          <w:rFonts w:ascii="Times New Roman" w:hAnsi="Times New Roman" w:cs="Times New Roman"/>
          <w:sz w:val="28"/>
          <w:szCs w:val="28"/>
        </w:rPr>
        <w:t>населения.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сентября 2024 г. и действует до 31 августа 2030 г.</w:t>
      </w:r>
    </w:p>
    <w:p w:rsidR="008451C4" w:rsidRPr="00E67174" w:rsidRDefault="003501D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8451C4" w:rsidRPr="00E67174" w:rsidRDefault="003501D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51C4" w:rsidRPr="00E67174" w:rsidRDefault="003501D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М.МИШУСТИН</w:t>
      </w:r>
    </w:p>
    <w:p w:rsidR="008451C4" w:rsidRPr="00E67174" w:rsidRDefault="008451C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451C4" w:rsidRPr="00E67174" w:rsidRDefault="003501DF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Утверждены</w:t>
      </w:r>
    </w:p>
    <w:p w:rsidR="008451C4" w:rsidRPr="00E67174" w:rsidRDefault="003501D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451C4" w:rsidRPr="00E67174" w:rsidRDefault="003501D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451C4" w:rsidRPr="00E67174" w:rsidRDefault="003501D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от 27 апреля 2024 г. N 546</w:t>
      </w:r>
    </w:p>
    <w:p w:rsidR="008451C4" w:rsidRPr="00E67174" w:rsidRDefault="008451C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451C4" w:rsidRPr="00E67174" w:rsidRDefault="003501D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E67174">
        <w:rPr>
          <w:rFonts w:ascii="Times New Roman" w:hAnsi="Times New Roman" w:cs="Times New Roman"/>
          <w:sz w:val="28"/>
          <w:szCs w:val="28"/>
        </w:rPr>
        <w:t>ПРАВИЛА</w:t>
      </w:r>
    </w:p>
    <w:p w:rsidR="008451C4" w:rsidRPr="00E67174" w:rsidRDefault="003501DF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ОТНЕСЕНИЯ ОРГАНИЗАЦИЙ К КАТЕГОРИЯМ ПО ГРАЖДАНСКОЙ ОБОРОНЕ</w:t>
      </w:r>
      <w:r w:rsidR="00E67174">
        <w:rPr>
          <w:rFonts w:ascii="Times New Roman" w:hAnsi="Times New Roman" w:cs="Times New Roman"/>
          <w:sz w:val="28"/>
          <w:szCs w:val="28"/>
        </w:rPr>
        <w:t xml:space="preserve"> </w:t>
      </w:r>
      <w:r w:rsidRPr="00E67174">
        <w:rPr>
          <w:rFonts w:ascii="Times New Roman" w:hAnsi="Times New Roman" w:cs="Times New Roman"/>
          <w:sz w:val="28"/>
          <w:szCs w:val="28"/>
        </w:rPr>
        <w:t>В ЗАВИСИМОСТИ ОТ РОЛИ В ЭКОНОМИКЕ ГОСУДАРСТВА ИЛИ ВЛИЯНИЯ</w:t>
      </w:r>
      <w:r w:rsidR="00E67174">
        <w:rPr>
          <w:rFonts w:ascii="Times New Roman" w:hAnsi="Times New Roman" w:cs="Times New Roman"/>
          <w:sz w:val="28"/>
          <w:szCs w:val="28"/>
        </w:rPr>
        <w:t xml:space="preserve"> </w:t>
      </w:r>
      <w:r w:rsidRPr="00E67174">
        <w:rPr>
          <w:rFonts w:ascii="Times New Roman" w:hAnsi="Times New Roman" w:cs="Times New Roman"/>
          <w:sz w:val="28"/>
          <w:szCs w:val="28"/>
        </w:rPr>
        <w:t>НА БЕЗОПАСНОСТЬ НАСЕЛЕНИЯ</w:t>
      </w:r>
    </w:p>
    <w:p w:rsidR="008451C4" w:rsidRPr="00E67174" w:rsidRDefault="008451C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451C4" w:rsidRPr="00E67174" w:rsidRDefault="003501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отнесения организаций к категориям по</w:t>
      </w:r>
      <w:r w:rsidRPr="00E67174">
        <w:rPr>
          <w:rFonts w:ascii="Times New Roman" w:hAnsi="Times New Roman" w:cs="Times New Roman"/>
          <w:sz w:val="28"/>
          <w:szCs w:val="28"/>
        </w:rPr>
        <w:t xml:space="preserve"> гражданской обороне в зависимости от роли в экономике государства или влияния на безопасность населения.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2. В настоящих Правилах используются следующие понятия: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lastRenderedPageBreak/>
        <w:t>"государственные компании" - Центральный банк Российской Федерации, Государственная корпорация</w:t>
      </w:r>
      <w:r w:rsidRPr="00E67174">
        <w:rPr>
          <w:rFonts w:ascii="Times New Roman" w:hAnsi="Times New Roman" w:cs="Times New Roman"/>
          <w:sz w:val="28"/>
          <w:szCs w:val="28"/>
        </w:rPr>
        <w:t xml:space="preserve"> по атомной энергии "</w:t>
      </w:r>
      <w:proofErr w:type="spellStart"/>
      <w:r w:rsidRPr="00E6717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E67174">
        <w:rPr>
          <w:rFonts w:ascii="Times New Roman" w:hAnsi="Times New Roman" w:cs="Times New Roman"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Pr="00E67174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E67174">
        <w:rPr>
          <w:rFonts w:ascii="Times New Roman" w:hAnsi="Times New Roman" w:cs="Times New Roman"/>
          <w:sz w:val="28"/>
          <w:szCs w:val="28"/>
        </w:rPr>
        <w:t>", Государственная корпорация по содействию разработке, производству и экспорту высокотехнологичной промышленной продукции "</w:t>
      </w:r>
      <w:proofErr w:type="spellStart"/>
      <w:r w:rsidRPr="00E67174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E67174">
        <w:rPr>
          <w:rFonts w:ascii="Times New Roman" w:hAnsi="Times New Roman" w:cs="Times New Roman"/>
          <w:sz w:val="28"/>
          <w:szCs w:val="28"/>
        </w:rPr>
        <w:t xml:space="preserve">", государственная корпорация </w:t>
      </w:r>
      <w:r w:rsidRPr="00E67174">
        <w:rPr>
          <w:rFonts w:ascii="Times New Roman" w:hAnsi="Times New Roman" w:cs="Times New Roman"/>
          <w:sz w:val="28"/>
          <w:szCs w:val="28"/>
        </w:rPr>
        <w:t>развития "ВЭБ.РФ", федеральное государственное унитарное предприятие "Информационное телеграфное агентство России (ИТАР-ТАСС)", Федеральный фонд обязательного медицинского страхования, Фонд пенсионного и социального страхования Российской Федерации, открыт</w:t>
      </w:r>
      <w:r w:rsidRPr="00E67174">
        <w:rPr>
          <w:rFonts w:ascii="Times New Roman" w:hAnsi="Times New Roman" w:cs="Times New Roman"/>
          <w:sz w:val="28"/>
          <w:szCs w:val="28"/>
        </w:rPr>
        <w:t>ое акционерное общество "Российские железные дороги", Банк ВТБ (публичное акционерное общество), публичное акционерное общество "</w:t>
      </w:r>
      <w:proofErr w:type="spellStart"/>
      <w:r w:rsidRPr="00E67174"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r w:rsidRPr="00E67174">
        <w:rPr>
          <w:rFonts w:ascii="Times New Roman" w:hAnsi="Times New Roman" w:cs="Times New Roman"/>
          <w:sz w:val="28"/>
          <w:szCs w:val="28"/>
        </w:rPr>
        <w:t xml:space="preserve">", публичное акционерное общество "Газпром", публичное акционерное общество "Нефтяная компания "Роснефть", публичное </w:t>
      </w:r>
      <w:r w:rsidRPr="00E67174">
        <w:rPr>
          <w:rFonts w:ascii="Times New Roman" w:hAnsi="Times New Roman" w:cs="Times New Roman"/>
          <w:sz w:val="28"/>
          <w:szCs w:val="28"/>
        </w:rPr>
        <w:t>акционерное общество "Ростелеком", публичное акционерное общество "Сбербанк России", публичное акционерное общество "Промсвязьбанк";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 xml:space="preserve">"организации, имеющие важное оборонное и экономическое значение" - организации, содержащиеся в сводном реестре организаций </w:t>
      </w:r>
      <w:r w:rsidRPr="00E67174">
        <w:rPr>
          <w:rFonts w:ascii="Times New Roman" w:hAnsi="Times New Roman" w:cs="Times New Roman"/>
          <w:sz w:val="28"/>
          <w:szCs w:val="28"/>
        </w:rPr>
        <w:t xml:space="preserve">оборонно-промышленного комплекса, перечне стратегических предприятий и стратегических акционерных обществ, утвержденном Президентом Российской Федерации, перечне стратегических организаций, а также федеральных органов исполнительной власти, обеспечивающих </w:t>
      </w:r>
      <w:r w:rsidRPr="00E67174">
        <w:rPr>
          <w:rFonts w:ascii="Times New Roman" w:hAnsi="Times New Roman" w:cs="Times New Roman"/>
          <w:sz w:val="28"/>
          <w:szCs w:val="28"/>
        </w:rPr>
        <w:t>реализацию единой государственной политики в отраслях экономики, в которых осуществляют деятельность эти организации, утвержденном Правительством Российской Федерации;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"</w:t>
      </w:r>
      <w:r w:rsidRPr="00E67174">
        <w:rPr>
          <w:rFonts w:ascii="Times New Roman" w:hAnsi="Times New Roman" w:cs="Times New Roman"/>
          <w:sz w:val="28"/>
          <w:szCs w:val="28"/>
        </w:rPr>
        <w:t xml:space="preserve">организации, представляющие высокую степень потенциальной опасности возникновения чрезвычайных ситуаций в военное и мирное время" - организации, эксплуатирующие особо </w:t>
      </w:r>
      <w:proofErr w:type="spellStart"/>
      <w:r w:rsidRPr="00E67174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E67174">
        <w:rPr>
          <w:rFonts w:ascii="Times New Roman" w:hAnsi="Times New Roman" w:cs="Times New Roman"/>
          <w:sz w:val="28"/>
          <w:szCs w:val="28"/>
        </w:rPr>
        <w:t xml:space="preserve"> опасные и (или) </w:t>
      </w:r>
      <w:proofErr w:type="spellStart"/>
      <w:r w:rsidRPr="00E67174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E67174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</w:t>
      </w:r>
      <w:r w:rsidRPr="00E67174">
        <w:rPr>
          <w:rFonts w:ascii="Times New Roman" w:hAnsi="Times New Roman" w:cs="Times New Roman"/>
          <w:sz w:val="28"/>
          <w:szCs w:val="28"/>
        </w:rPr>
        <w:t>жения чрезвычайно высокой опасности и (или) высокой опасности, опасные производственные объекты I и II классов опасности (за исключением линейных сооружений объектов трубопроводного транспорта), последствия аварий на которых могут причинять вред жизни и зд</w:t>
      </w:r>
      <w:r w:rsidRPr="00E67174">
        <w:rPr>
          <w:rFonts w:ascii="Times New Roman" w:hAnsi="Times New Roman" w:cs="Times New Roman"/>
          <w:sz w:val="28"/>
          <w:szCs w:val="28"/>
        </w:rPr>
        <w:t>оровью населения, проживающего или осуществляющего хозяйственную деятельность в зонах воздействия поражающих факторов за пределами их территорий;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"организации, имеющие уникальные в историко-культурном отношении объекты" - организации, в собственности, влад</w:t>
      </w:r>
      <w:r w:rsidRPr="00E67174">
        <w:rPr>
          <w:rFonts w:ascii="Times New Roman" w:hAnsi="Times New Roman" w:cs="Times New Roman"/>
          <w:sz w:val="28"/>
          <w:szCs w:val="28"/>
        </w:rPr>
        <w:t>ении или пользовании которых находятся особо ценные объекты культурного наследия народов Российской Федерации и (или) культурные ценности, являющиеся музейными предметами и коллекциями, включенными в состав Музейного фонда Российской Федерации, или отнесен</w:t>
      </w:r>
      <w:r w:rsidRPr="00E67174">
        <w:rPr>
          <w:rFonts w:ascii="Times New Roman" w:hAnsi="Times New Roman" w:cs="Times New Roman"/>
          <w:sz w:val="28"/>
          <w:szCs w:val="28"/>
        </w:rPr>
        <w:t>ные к книжным памятникам;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"организации, подведомственные федеральным органам исполнительной власти, иным федеральным государственным органам, государственным компаниям, исполнительным органам субъектов Российской Федерации, органам публичной власти федерал</w:t>
      </w:r>
      <w:r w:rsidRPr="00E67174">
        <w:rPr>
          <w:rFonts w:ascii="Times New Roman" w:hAnsi="Times New Roman" w:cs="Times New Roman"/>
          <w:sz w:val="28"/>
          <w:szCs w:val="28"/>
        </w:rPr>
        <w:t>ьной территории, органам местного самоуправления" - организации, функции и полномочия учредителя в отношении которых осуществляют федеральные органы исполнительной власти, иные федеральные государственные органы, государственные компании, исполнительные ор</w:t>
      </w:r>
      <w:r w:rsidRPr="00E67174">
        <w:rPr>
          <w:rFonts w:ascii="Times New Roman" w:hAnsi="Times New Roman" w:cs="Times New Roman"/>
          <w:sz w:val="28"/>
          <w:szCs w:val="28"/>
        </w:rPr>
        <w:t>ганы субъектов Российской Федерации, органы публичной власти федеральной территории, органы местного самоуправления;</w:t>
      </w:r>
      <w:bookmarkStart w:id="1" w:name="_GoBack"/>
      <w:bookmarkEnd w:id="1"/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lastRenderedPageBreak/>
        <w:t>"организации, находящиеся в сфере ведения федеральных органов исполнительной власти (государственных компаний)" - организации, осуществляющ</w:t>
      </w:r>
      <w:r w:rsidRPr="00E67174">
        <w:rPr>
          <w:rFonts w:ascii="Times New Roman" w:hAnsi="Times New Roman" w:cs="Times New Roman"/>
          <w:sz w:val="28"/>
          <w:szCs w:val="28"/>
        </w:rPr>
        <w:t>ие свою деятельность в отраслях (сферах управления), регулируемых федеральными органами исполнительной власти и государственными компаниями, и состоящие в соответствующих реестрах (перечнях), ведение которых нормативно закреплено за тем или иным федеральны</w:t>
      </w:r>
      <w:r w:rsidRPr="00E67174">
        <w:rPr>
          <w:rFonts w:ascii="Times New Roman" w:hAnsi="Times New Roman" w:cs="Times New Roman"/>
          <w:sz w:val="28"/>
          <w:szCs w:val="28"/>
        </w:rPr>
        <w:t>м органом исполнительной власти или государственной компанией;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"общая численность работающих" - численность работающих в организации согласно штатному расписанию;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"обособленное подразделение организации"</w:t>
      </w:r>
      <w:r w:rsidRPr="00E67174">
        <w:rPr>
          <w:rFonts w:ascii="Times New Roman" w:hAnsi="Times New Roman" w:cs="Times New Roman"/>
          <w:sz w:val="28"/>
          <w:szCs w:val="28"/>
        </w:rPr>
        <w:t xml:space="preserve"> - любое территориально обособленное от организации подразделение, по месту </w:t>
      </w:r>
      <w:proofErr w:type="gramStart"/>
      <w:r w:rsidRPr="00E67174">
        <w:rPr>
          <w:rFonts w:ascii="Times New Roman" w:hAnsi="Times New Roman" w:cs="Times New Roman"/>
          <w:sz w:val="28"/>
          <w:szCs w:val="28"/>
        </w:rPr>
        <w:t>нахождения</w:t>
      </w:r>
      <w:proofErr w:type="gramEnd"/>
      <w:r w:rsidRPr="00E67174">
        <w:rPr>
          <w:rFonts w:ascii="Times New Roman" w:hAnsi="Times New Roman" w:cs="Times New Roman"/>
          <w:sz w:val="28"/>
          <w:szCs w:val="28"/>
        </w:rPr>
        <w:t xml:space="preserve"> которого оборудованы стационарные рабочие места;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"наибольшая работающая смена" - максимальная по численности работающая смена организации;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"код организации" - буквенно-ц</w:t>
      </w:r>
      <w:r w:rsidRPr="00E67174">
        <w:rPr>
          <w:rFonts w:ascii="Times New Roman" w:hAnsi="Times New Roman" w:cs="Times New Roman"/>
          <w:sz w:val="28"/>
          <w:szCs w:val="28"/>
        </w:rPr>
        <w:t>ифровое обозначение качественных и количественных показателей для отнесения организаций к категориям по гражданской обороне по видам экономической деятельности организаций.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E67174">
        <w:rPr>
          <w:rFonts w:ascii="Times New Roman" w:hAnsi="Times New Roman" w:cs="Times New Roman"/>
          <w:sz w:val="28"/>
          <w:szCs w:val="28"/>
        </w:rPr>
        <w:t>3. Отнесению к категориям по гражданской обороне подлежат: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организации, имеющие важ</w:t>
      </w:r>
      <w:r w:rsidRPr="00E67174">
        <w:rPr>
          <w:rFonts w:ascii="Times New Roman" w:hAnsi="Times New Roman" w:cs="Times New Roman"/>
          <w:sz w:val="28"/>
          <w:szCs w:val="28"/>
        </w:rPr>
        <w:t>ное оборонное и экономическое значение;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организации, имеющие мобилизационные задания (заказы) или осуществляющие выполнение мероприятий, предусмотренных мобилизационными планами экономики, на основе договоров (контрактов), заключаемых в соответствии с зако</w:t>
      </w:r>
      <w:r w:rsidRPr="00E67174">
        <w:rPr>
          <w:rFonts w:ascii="Times New Roman" w:hAnsi="Times New Roman" w:cs="Times New Roman"/>
          <w:sz w:val="28"/>
          <w:szCs w:val="28"/>
        </w:rPr>
        <w:t>нодательными и иными нормативными правовыми актами Российской Федерации;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организации, представляющие высокую степень потенциальной опасности возникновения чрезвычайных ситуаций в военное и мирное время;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организации, имеющие уникальные в историко-культурном</w:t>
      </w:r>
      <w:r w:rsidRPr="00E67174">
        <w:rPr>
          <w:rFonts w:ascii="Times New Roman" w:hAnsi="Times New Roman" w:cs="Times New Roman"/>
          <w:sz w:val="28"/>
          <w:szCs w:val="28"/>
        </w:rPr>
        <w:t xml:space="preserve"> отношении объекты.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 xml:space="preserve">4. Организациям, указанным в </w:t>
      </w:r>
      <w:hyperlink w:anchor="P45" w:tooltip="3. Отнесению к категориям по гражданской обороне подлежат: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настоящих Правил, в зависимости от показателей для отнесения организаций к категориям по гражданской обороне</w:t>
      </w:r>
      <w:r w:rsidRPr="00E67174">
        <w:rPr>
          <w:rFonts w:ascii="Times New Roman" w:hAnsi="Times New Roman" w:cs="Times New Roman"/>
          <w:sz w:val="28"/>
          <w:szCs w:val="28"/>
        </w:rPr>
        <w:t xml:space="preserve"> (далее - показатели) устанавливается одна из трех категорий по гражданской обороне: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категория особой важности;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первая категория;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вторая категория.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5. Если организация в соответствии с показателями может быть отнесена к разным категориям по гражданской обо</w:t>
      </w:r>
      <w:r w:rsidRPr="00E67174">
        <w:rPr>
          <w:rFonts w:ascii="Times New Roman" w:hAnsi="Times New Roman" w:cs="Times New Roman"/>
          <w:sz w:val="28"/>
          <w:szCs w:val="28"/>
        </w:rPr>
        <w:t xml:space="preserve">роне, то </w:t>
      </w:r>
      <w:r w:rsidRPr="00E67174">
        <w:rPr>
          <w:rFonts w:ascii="Times New Roman" w:hAnsi="Times New Roman" w:cs="Times New Roman"/>
          <w:sz w:val="28"/>
          <w:szCs w:val="28"/>
        </w:rPr>
        <w:lastRenderedPageBreak/>
        <w:t>для нее устанавливается наиболее высокая категория по гражданской обороне.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6. Министерство Российской Федерации по делам гражданской обороны, чрезвычайным ситуациям и ликвидации последствий стихийных бедствий устанавливает показатели и осуществляе</w:t>
      </w:r>
      <w:r w:rsidRPr="00E67174">
        <w:rPr>
          <w:rFonts w:ascii="Times New Roman" w:hAnsi="Times New Roman" w:cs="Times New Roman"/>
          <w:sz w:val="28"/>
          <w:szCs w:val="28"/>
        </w:rPr>
        <w:t>т методическое руководство, координацию и контроль за отнесением организаций к категориям по гражданской обороне.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7. Отнесение организаций к категориям по гражданской обороне производится федеральными органами исполнительной власти, иными федеральными госу</w:t>
      </w:r>
      <w:r w:rsidRPr="00E67174">
        <w:rPr>
          <w:rFonts w:ascii="Times New Roman" w:hAnsi="Times New Roman" w:cs="Times New Roman"/>
          <w:sz w:val="28"/>
          <w:szCs w:val="28"/>
        </w:rPr>
        <w:t>дарственными органами, исполнительными органами субъектов Российской Федерации и государственными компаниями в отношении организаций, подведомственных указанным органам и государственным компаниям, а также организаций, находящихся в сфере их ведения.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В слу</w:t>
      </w:r>
      <w:r w:rsidRPr="00E67174">
        <w:rPr>
          <w:rFonts w:ascii="Times New Roman" w:hAnsi="Times New Roman" w:cs="Times New Roman"/>
          <w:sz w:val="28"/>
          <w:szCs w:val="28"/>
        </w:rPr>
        <w:t>чае если организации не являются подведомственными указанным органам и государственным компаниям и не находятся в сфере их ведения, то их отнесение к категориям по гражданской обороне осуществляется исполнительными органами субъектов Российской Федерации п</w:t>
      </w:r>
      <w:r w:rsidRPr="00E67174">
        <w:rPr>
          <w:rFonts w:ascii="Times New Roman" w:hAnsi="Times New Roman" w:cs="Times New Roman"/>
          <w:sz w:val="28"/>
          <w:szCs w:val="28"/>
        </w:rPr>
        <w:t>о предложениям органов публичной власти федеральной территории и органов местного самоуправления, осуществляющих свою деятельность в пределах территории, на которой расположены указанные организации.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 xml:space="preserve">8. При наличии у организаций, указанных в </w:t>
      </w:r>
      <w:hyperlink w:anchor="P45" w:tooltip="3. Отнесению к категориям по гражданской обороне подлежат: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настоящих Правил, обособленных подразделений категория по гражданской обороне устанавливается для организации в целом с учетом всех ее обособленных подразделений вне завис</w:t>
      </w:r>
      <w:r w:rsidRPr="00E67174">
        <w:rPr>
          <w:rFonts w:ascii="Times New Roman" w:hAnsi="Times New Roman" w:cs="Times New Roman"/>
          <w:sz w:val="28"/>
          <w:szCs w:val="28"/>
        </w:rPr>
        <w:t>имости от их месторасположения.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E67174">
        <w:rPr>
          <w:rFonts w:ascii="Times New Roman" w:hAnsi="Times New Roman" w:cs="Times New Roman"/>
          <w:sz w:val="28"/>
          <w:szCs w:val="28"/>
        </w:rPr>
        <w:t>9. Организации, подведомственные федеральным органам исполнительной власти, иным федеральным государственным органам, государственным компаниям, исполнительным органам субъектов Российской Федерации, органам публичной власти</w:t>
      </w:r>
      <w:r w:rsidRPr="00E67174">
        <w:rPr>
          <w:rFonts w:ascii="Times New Roman" w:hAnsi="Times New Roman" w:cs="Times New Roman"/>
          <w:sz w:val="28"/>
          <w:szCs w:val="28"/>
        </w:rPr>
        <w:t xml:space="preserve"> федеральной территории, органам местного самоуправления, или организации, находящиеся в сфере ведения федеральных органов исполнительной власти (государственных компаний), представляют в соответствующие федеральные органы исполнительной власти, иные федер</w:t>
      </w:r>
      <w:r w:rsidRPr="00E67174">
        <w:rPr>
          <w:rFonts w:ascii="Times New Roman" w:hAnsi="Times New Roman" w:cs="Times New Roman"/>
          <w:sz w:val="28"/>
          <w:szCs w:val="28"/>
        </w:rPr>
        <w:t xml:space="preserve">альные государственные органы, государственные компании, исполнительные органы субъектов Российской Федерации, органы публичной власти федеральной территории или органы местного самоуправления предложения в перечень организаций, отнесенных к категориям по </w:t>
      </w:r>
      <w:r w:rsidRPr="00E67174">
        <w:rPr>
          <w:rFonts w:ascii="Times New Roman" w:hAnsi="Times New Roman" w:cs="Times New Roman"/>
          <w:sz w:val="28"/>
          <w:szCs w:val="28"/>
        </w:rPr>
        <w:t xml:space="preserve">гражданской обороне, по форме согласно </w:t>
      </w:r>
      <w:hyperlink w:anchor="P91" w:tooltip="                                ПРЕДЛОЖЕНИЯ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 w:rsidRPr="00E67174">
        <w:rPr>
          <w:rFonts w:ascii="Times New Roman" w:hAnsi="Times New Roman" w:cs="Times New Roman"/>
          <w:sz w:val="28"/>
          <w:szCs w:val="28"/>
        </w:rPr>
        <w:t>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E67174">
        <w:rPr>
          <w:rFonts w:ascii="Times New Roman" w:hAnsi="Times New Roman" w:cs="Times New Roman"/>
          <w:sz w:val="28"/>
          <w:szCs w:val="28"/>
        </w:rPr>
        <w:t xml:space="preserve">Организации, указанные в </w:t>
      </w:r>
      <w:hyperlink w:anchor="P45" w:tooltip="3. Отнесению к категориям по гражданской обороне подлежат: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на</w:t>
      </w:r>
      <w:r w:rsidRPr="00E67174">
        <w:rPr>
          <w:rFonts w:ascii="Times New Roman" w:hAnsi="Times New Roman" w:cs="Times New Roman"/>
          <w:sz w:val="28"/>
          <w:szCs w:val="28"/>
        </w:rPr>
        <w:t xml:space="preserve">стоящих Правил, за исключением организаций, указанных в </w:t>
      </w:r>
      <w:hyperlink w:anchor="P59" w:tooltip="9. Организации, подведомственные федеральным органам исполнительной власти, иным федеральным государственным органам, государственным компаниям, исполнительным органам субъектов Российской Федерации, органам публичной власти федеральной территории, органам мес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 в органы местного самоуправления, осуществляющие свою деятельность в пределах территории, на которой расположены орган</w:t>
      </w:r>
      <w:r w:rsidRPr="00E67174">
        <w:rPr>
          <w:rFonts w:ascii="Times New Roman" w:hAnsi="Times New Roman" w:cs="Times New Roman"/>
          <w:sz w:val="28"/>
          <w:szCs w:val="28"/>
        </w:rPr>
        <w:t xml:space="preserve">изации, предложения в перечень организаций, отнесенных к категориям по гражданской обороне, в соответствии с </w:t>
      </w:r>
      <w:hyperlink w:anchor="P91" w:tooltip="                                ПРЕДЛОЖЕНИЯ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Данные предложения направляются ру</w:t>
      </w:r>
      <w:r w:rsidRPr="00E67174">
        <w:rPr>
          <w:rFonts w:ascii="Times New Roman" w:hAnsi="Times New Roman" w:cs="Times New Roman"/>
          <w:sz w:val="28"/>
          <w:szCs w:val="28"/>
        </w:rPr>
        <w:t>ководителями организаций до 1 ноября 2024 г. на бумажном носителе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lastRenderedPageBreak/>
        <w:t>10. Органы публичной власти федера</w:t>
      </w:r>
      <w:r w:rsidRPr="00E67174">
        <w:rPr>
          <w:rFonts w:ascii="Times New Roman" w:hAnsi="Times New Roman" w:cs="Times New Roman"/>
          <w:sz w:val="28"/>
          <w:szCs w:val="28"/>
        </w:rPr>
        <w:t>льной территории и органы местного самоуправления до 1 декабря 2024 г. направляют в исполнительные органы субъектов Российской Федерации согласованные с соответствующим территориальным органом Министерства Российской Федерации по делам гражданской обороны,</w:t>
      </w:r>
      <w:r w:rsidRPr="00E67174">
        <w:rPr>
          <w:rFonts w:ascii="Times New Roman" w:hAnsi="Times New Roman" w:cs="Times New Roman"/>
          <w:sz w:val="28"/>
          <w:szCs w:val="28"/>
        </w:rPr>
        <w:t xml:space="preserve"> чрезвычайным ситуациям и ликвидации последствий стихийных бедствий предложения в перечень организаций, отнесенных к категориям по гражданской обороне, по форме согласно </w:t>
      </w:r>
      <w:hyperlink w:anchor="P166" w:tooltip="                                ПРЕДЛОЖЕНИЯ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 xml:space="preserve"> N 2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в отношении организаций, подведомственных органам публичной власти федеральной территории и органам местного самоуправления, а также организаций, предусмотренных </w:t>
      </w:r>
      <w:hyperlink w:anchor="P60" w:tooltip="Организации, указанные в пункте 3 настоящих Правил, за исключением организаций, указанных в абзаце первом настоящего пункта, представляют в органы местного самоуправления, осуществляющие свою деятельность в пределах территории, на которой расположены организац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9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настоящих Правил, на бумажном</w:t>
      </w:r>
      <w:r w:rsidRPr="00E67174">
        <w:rPr>
          <w:rFonts w:ascii="Times New Roman" w:hAnsi="Times New Roman" w:cs="Times New Roman"/>
          <w:sz w:val="28"/>
          <w:szCs w:val="28"/>
        </w:rPr>
        <w:t xml:space="preserve"> носителе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r w:rsidRPr="00E67174">
        <w:rPr>
          <w:rFonts w:ascii="Times New Roman" w:hAnsi="Times New Roman" w:cs="Times New Roman"/>
          <w:sz w:val="28"/>
          <w:szCs w:val="28"/>
        </w:rPr>
        <w:t>11. Федеральные органы исполнительной власти, иные федеральные государственные органы, гос</w:t>
      </w:r>
      <w:r w:rsidRPr="00E67174">
        <w:rPr>
          <w:rFonts w:ascii="Times New Roman" w:hAnsi="Times New Roman" w:cs="Times New Roman"/>
          <w:sz w:val="28"/>
          <w:szCs w:val="28"/>
        </w:rPr>
        <w:t>ударственные компании и исполнительные органы субъектов Российской Федерации до 1 января 2025 г. направляют на согласование в 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Pr="00E67174">
        <w:rPr>
          <w:rFonts w:ascii="Times New Roman" w:hAnsi="Times New Roman" w:cs="Times New Roman"/>
          <w:sz w:val="28"/>
          <w:szCs w:val="28"/>
        </w:rPr>
        <w:t xml:space="preserve"> на бумажном носителе заказным почтовым отправлением с уведомлением о вручении перечень организаций, отнесенных к категориям по гражданской обороне, по форме согласно </w:t>
      </w:r>
      <w:hyperlink w:anchor="P249" w:tooltip="                                 ПЕРЕЧЕНЬ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Pr="00E67174">
        <w:rPr>
          <w:rFonts w:ascii="Times New Roman" w:hAnsi="Times New Roman" w:cs="Times New Roman"/>
          <w:sz w:val="28"/>
          <w:szCs w:val="28"/>
        </w:rPr>
        <w:t>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проверяет правильность отнесения организаций к категориям по гражданской обороне в соответствии с показателями и согласовыва</w:t>
      </w:r>
      <w:r w:rsidRPr="00E67174">
        <w:rPr>
          <w:rFonts w:ascii="Times New Roman" w:hAnsi="Times New Roman" w:cs="Times New Roman"/>
          <w:sz w:val="28"/>
          <w:szCs w:val="28"/>
        </w:rPr>
        <w:t>ет представленные перечни организаций, отнесенных к категориям по гражданской обороне, в течение 30 календарных дней со дня их получения.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В случае выявления несоответствия показателей и присваиваемой организации категории по гражданской обороне, а также при наличии смысловых, орфографических и пунктуационных ошибок перечни организаций, отнесенных к категориям по гражданской обороне, возвраща</w:t>
      </w:r>
      <w:r w:rsidRPr="00E67174">
        <w:rPr>
          <w:rFonts w:ascii="Times New Roman" w:hAnsi="Times New Roman" w:cs="Times New Roman"/>
          <w:sz w:val="28"/>
          <w:szCs w:val="28"/>
        </w:rPr>
        <w:t>ются на доработку с обоснованием причин возврата.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иные федеральные государственные органы, государственные компании, исполнительные органы субъектов Российской Федерации устраняют полученные от Министерства Российс</w:t>
      </w:r>
      <w:r w:rsidRPr="00E67174">
        <w:rPr>
          <w:rFonts w:ascii="Times New Roman" w:hAnsi="Times New Roman" w:cs="Times New Roman"/>
          <w:sz w:val="28"/>
          <w:szCs w:val="28"/>
        </w:rPr>
        <w:t xml:space="preserve">кой Федерации по делам гражданской обороны, чрезвычайным ситуациям и ликвидации последствий стихийных бедствий замечания и в течение 60 календарных дней со дня их получения повторно направляют на согласование в Министерство перечни организаций, отнесенных </w:t>
      </w:r>
      <w:r w:rsidRPr="00E67174">
        <w:rPr>
          <w:rFonts w:ascii="Times New Roman" w:hAnsi="Times New Roman" w:cs="Times New Roman"/>
          <w:sz w:val="28"/>
          <w:szCs w:val="28"/>
        </w:rPr>
        <w:t xml:space="preserve">к категориям по гражданской обороне, в порядке, установленном в </w:t>
      </w:r>
      <w:hyperlink w:anchor="P63" w:tooltip="11. Федеральные органы исполнительной власти, иные федеральные государственные органы, государственные компании и исполнительные органы субъектов Российской Федерации до 1 января 2025 г. направляют на согласование в Министерство Российской Федерации по делам г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В случае несогласия с полученными замечаниями федеральные органы исполнительной власти, иные федеральные государственные ор</w:t>
      </w:r>
      <w:r w:rsidRPr="00E67174">
        <w:rPr>
          <w:rFonts w:ascii="Times New Roman" w:hAnsi="Times New Roman" w:cs="Times New Roman"/>
          <w:sz w:val="28"/>
          <w:szCs w:val="28"/>
        </w:rPr>
        <w:t>ганы, государственные компании, исполнительные органы субъектов Российской Федерации в течение 60 календарных дней со дня их получения повторно направляют на согласование в Министерство Российской Федерации по делам гражданской обороны, чрезвычайным ситуац</w:t>
      </w:r>
      <w:r w:rsidRPr="00E67174">
        <w:rPr>
          <w:rFonts w:ascii="Times New Roman" w:hAnsi="Times New Roman" w:cs="Times New Roman"/>
          <w:sz w:val="28"/>
          <w:szCs w:val="28"/>
        </w:rPr>
        <w:t xml:space="preserve">иям и ликвидации последствий стихийных бедствий перечни организаций, отнесенных к категориям по гражданской обороне, в порядке, установленном в </w:t>
      </w:r>
      <w:hyperlink w:anchor="P63" w:tooltip="11. Федеральные органы исполнительной власти, иные федеральные государственные органы, государственные компании и исполнительные органы субъектов Российской Федерации до 1 января 2025 г. направляют на согласование в Министерство Российской Федерации по делам г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настоящего пункта, с обоснованием </w:t>
      </w:r>
      <w:r w:rsidRPr="00E67174">
        <w:rPr>
          <w:rFonts w:ascii="Times New Roman" w:hAnsi="Times New Roman" w:cs="Times New Roman"/>
          <w:sz w:val="28"/>
          <w:szCs w:val="28"/>
        </w:rPr>
        <w:lastRenderedPageBreak/>
        <w:t>своей позиции.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E67174">
        <w:rPr>
          <w:rFonts w:ascii="Times New Roman" w:hAnsi="Times New Roman" w:cs="Times New Roman"/>
          <w:sz w:val="28"/>
          <w:szCs w:val="28"/>
        </w:rPr>
        <w:t>и ведение перечней организаций, отнесенных к категориям по гражданской обороне, осуществляются с соблюдением требований законодательства Российской Федерации об информации, информационных технологиях и о защите информации, а также с соблюдением государстве</w:t>
      </w:r>
      <w:r w:rsidRPr="00E67174">
        <w:rPr>
          <w:rFonts w:ascii="Times New Roman" w:hAnsi="Times New Roman" w:cs="Times New Roman"/>
          <w:sz w:val="28"/>
          <w:szCs w:val="28"/>
        </w:rPr>
        <w:t>нной, коммерческой, служебной и иной охраняемой законом тайны.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12. Руководитель (либо его заместитель) федерального органа исполнительной власти, иного федерального государственного органа, государственной компании после согласования с Министерством Россий</w:t>
      </w:r>
      <w:r w:rsidRPr="00E67174">
        <w:rPr>
          <w:rFonts w:ascii="Times New Roman" w:hAnsi="Times New Roman" w:cs="Times New Roman"/>
          <w:sz w:val="28"/>
          <w:szCs w:val="28"/>
        </w:rPr>
        <w:t xml:space="preserve">ской Федерации по делам гражданской обороны, чрезвычайным ситуациям и ликвидации последствий стихийных бедствий утверждает перечень организаций, отнесенных к категориям по гражданской обороне, подведомственных данному органу (государственной компании) или </w:t>
      </w:r>
      <w:r w:rsidRPr="00E67174">
        <w:rPr>
          <w:rFonts w:ascii="Times New Roman" w:hAnsi="Times New Roman" w:cs="Times New Roman"/>
          <w:sz w:val="28"/>
          <w:szCs w:val="28"/>
        </w:rPr>
        <w:t xml:space="preserve">находящихся в их сфере ведения, и направляет на бумажном носителе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не позднее 30-го календарного дня </w:t>
      </w:r>
      <w:r w:rsidRPr="00E67174">
        <w:rPr>
          <w:rFonts w:ascii="Times New Roman" w:hAnsi="Times New Roman" w:cs="Times New Roman"/>
          <w:sz w:val="28"/>
          <w:szCs w:val="28"/>
        </w:rPr>
        <w:t>со дня его утверждения выписки из перечня организаций, отнесенных к категориям по гражданской обороне, об указанных организациях в исполнительные органы субъектов Российской Федерации, на территории которых находятся эти организации.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13. Высшее должностное</w:t>
      </w:r>
      <w:r w:rsidRPr="00E67174">
        <w:rPr>
          <w:rFonts w:ascii="Times New Roman" w:hAnsi="Times New Roman" w:cs="Times New Roman"/>
          <w:sz w:val="28"/>
          <w:szCs w:val="28"/>
        </w:rPr>
        <w:t xml:space="preserve"> лицо субъекта Российской Федерации (либо его заместитель) после согласования с Министерством Российской Федерации по делам гражданской обороны, чрезвычайным ситуациям и ликвидации последствий стихийных бедствий утверждает перечень организаций, отнесенных </w:t>
      </w:r>
      <w:r w:rsidRPr="00E67174">
        <w:rPr>
          <w:rFonts w:ascii="Times New Roman" w:hAnsi="Times New Roman" w:cs="Times New Roman"/>
          <w:sz w:val="28"/>
          <w:szCs w:val="28"/>
        </w:rPr>
        <w:t xml:space="preserve">к категориям по гражданской обороне, подведомственных исполнительным органам субъекта Российской Федерации, а также организаций, подведомственных органам местного самоуправления, и организаций, предусмотренных </w:t>
      </w:r>
      <w:hyperlink w:anchor="P60" w:tooltip="Организации, указанные в пункте 3 настоящих Правил, за исключением организаций, указанных в абзаце первом настоящего пункта, представляют в органы местного самоуправления, осуществляющие свою деятельность в пределах территории, на которой расположены организац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абзацем вт</w:t>
        </w:r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орым пункта 9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настоящих Правил, отнесенных к категориям по гражданской обороне, и направляет на бумажном носителе заказным почтовым отправлением с уведомлением о вручении не позднее 30-го календарного дня со дня его утверждения выписки из перечня организац</w:t>
      </w:r>
      <w:r w:rsidRPr="00E67174">
        <w:rPr>
          <w:rFonts w:ascii="Times New Roman" w:hAnsi="Times New Roman" w:cs="Times New Roman"/>
          <w:sz w:val="28"/>
          <w:szCs w:val="28"/>
        </w:rPr>
        <w:t>ий, отнесенных к категориям по гражданской обороне, об указанных организациях, а также выписки из перечней организаций, отнесенных к категориям по гражданской обороне, утвержденных федеральными органами исполнительной власти, иными федеральными государстве</w:t>
      </w:r>
      <w:r w:rsidRPr="00E67174">
        <w:rPr>
          <w:rFonts w:ascii="Times New Roman" w:hAnsi="Times New Roman" w:cs="Times New Roman"/>
          <w:sz w:val="28"/>
          <w:szCs w:val="28"/>
        </w:rPr>
        <w:t>нными органами, государственными компаниями, в органы местного самоуправления и соответствующий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14. Фе</w:t>
      </w:r>
      <w:r w:rsidRPr="00E67174">
        <w:rPr>
          <w:rFonts w:ascii="Times New Roman" w:hAnsi="Times New Roman" w:cs="Times New Roman"/>
          <w:sz w:val="28"/>
          <w:szCs w:val="28"/>
        </w:rPr>
        <w:t>деральные органы исполнительной власти, иные федеральные государственные органы, государственные компании и исполнительные органы субъектов Российской Федерации представляют заказным почтовым отправлением с уведомлением о вручении на бумажном и электронном</w:t>
      </w:r>
      <w:r w:rsidRPr="00E67174">
        <w:rPr>
          <w:rFonts w:ascii="Times New Roman" w:hAnsi="Times New Roman" w:cs="Times New Roman"/>
          <w:sz w:val="28"/>
          <w:szCs w:val="28"/>
        </w:rPr>
        <w:t xml:space="preserve"> носителях перечни организаций, отнесенных к категориям по гражданской обороне, в Министерство Российской Федерации по делам гражданской обороны, чрезвычайным ситуациям и ликвидации последствий стихийных бедствий и направляют на бумажном носителе заказным </w:t>
      </w:r>
      <w:r w:rsidRPr="00E67174">
        <w:rPr>
          <w:rFonts w:ascii="Times New Roman" w:hAnsi="Times New Roman" w:cs="Times New Roman"/>
          <w:sz w:val="28"/>
          <w:szCs w:val="28"/>
        </w:rPr>
        <w:t xml:space="preserve">почтовым отправлением с уведомлением о вручении или в форме электронного документа информацию соответствующим организациям об отнесении их к категориям по гражданской </w:t>
      </w:r>
      <w:r w:rsidRPr="00E67174">
        <w:rPr>
          <w:rFonts w:ascii="Times New Roman" w:hAnsi="Times New Roman" w:cs="Times New Roman"/>
          <w:sz w:val="28"/>
          <w:szCs w:val="28"/>
        </w:rPr>
        <w:lastRenderedPageBreak/>
        <w:t>обороне (в произвольной форме) не позднее 30-го календарного дня со дня утверждения переч</w:t>
      </w:r>
      <w:r w:rsidRPr="00E67174">
        <w:rPr>
          <w:rFonts w:ascii="Times New Roman" w:hAnsi="Times New Roman" w:cs="Times New Roman"/>
          <w:sz w:val="28"/>
          <w:szCs w:val="28"/>
        </w:rPr>
        <w:t>ня организаций, отнесенных к категориям по гражданской обороне.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E67174">
        <w:rPr>
          <w:rFonts w:ascii="Times New Roman" w:hAnsi="Times New Roman" w:cs="Times New Roman"/>
          <w:sz w:val="28"/>
          <w:szCs w:val="28"/>
        </w:rPr>
        <w:t xml:space="preserve">15. При изменении показателей, влекущих необходимость пересмотра категории по гражданской обороне, руководитель организации, указанной в </w:t>
      </w:r>
      <w:hyperlink w:anchor="P45" w:tooltip="3. Отнесению к категориям по гражданской обороне подлежат: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настоящих Правил, не позднее 30-го календарного дня со дня изменения показателей в порядке, определенном </w:t>
      </w:r>
      <w:hyperlink w:anchor="P59" w:tooltip="9. Организации, подведомственные федеральным органам исполнительной власти, иным федеральным государственным органам, государственным компаниям, исполнительным органам субъектов Российской Федерации, органам публичной власти федеральной территории, органам мес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предложения о внесении изменений</w:t>
      </w:r>
      <w:r w:rsidRPr="00E67174">
        <w:rPr>
          <w:rFonts w:ascii="Times New Roman" w:hAnsi="Times New Roman" w:cs="Times New Roman"/>
          <w:sz w:val="28"/>
          <w:szCs w:val="28"/>
        </w:rPr>
        <w:t xml:space="preserve"> в сведения, содержащиеся в соответствующем перечне организаций, отнесенных к категориям по гражданской обороне, или об установлении (исключении) категории по гражданской обороне на бумажном носителе заказным почтовым отправлением с уведомлением о вручении</w:t>
      </w:r>
      <w:r w:rsidRPr="00E67174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документа, подписанного усиленной квалифицированной электронной подписью, в соответствующие федеральные органы исполнительной власти, иные федеральные государственные органы, государственные компании, исполнительные органы субъект</w:t>
      </w:r>
      <w:r w:rsidRPr="00E67174">
        <w:rPr>
          <w:rFonts w:ascii="Times New Roman" w:hAnsi="Times New Roman" w:cs="Times New Roman"/>
          <w:sz w:val="28"/>
          <w:szCs w:val="28"/>
        </w:rPr>
        <w:t>ов Российской Федерации или органы местного самоуправления, формировавшие предложения в перечень организаций, отнесенных к категориям по гражданской обороне.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Сроки рассмотрения предложений о внесении изменений в сведения, содержащиеся в перечне организаций</w:t>
      </w:r>
      <w:r w:rsidRPr="00E67174">
        <w:rPr>
          <w:rFonts w:ascii="Times New Roman" w:hAnsi="Times New Roman" w:cs="Times New Roman"/>
          <w:sz w:val="28"/>
          <w:szCs w:val="28"/>
        </w:rPr>
        <w:t>, отнесенных к категориям по гражданской обороне, или об установлении (исключении) категории по гражданской обороне указанных организаций федеральными органами исполнительной власти, иными федеральными государственными органами, государственными компаниями</w:t>
      </w:r>
      <w:r w:rsidRPr="00E67174">
        <w:rPr>
          <w:rFonts w:ascii="Times New Roman" w:hAnsi="Times New Roman" w:cs="Times New Roman"/>
          <w:sz w:val="28"/>
          <w:szCs w:val="28"/>
        </w:rPr>
        <w:t>, исполнительными органами субъектов Российской Федерации и органами местного самоуправления не должны превышать 30 календарных дней.</w:t>
      </w:r>
    </w:p>
    <w:p w:rsidR="008451C4" w:rsidRPr="00E67174" w:rsidRDefault="003501DF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16. Уточнение перечней организаций, отнесенных к категориям по гражданской обороне, осуществляется федеральными органами и</w:t>
      </w:r>
      <w:r w:rsidRPr="00E67174">
        <w:rPr>
          <w:rFonts w:ascii="Times New Roman" w:hAnsi="Times New Roman" w:cs="Times New Roman"/>
          <w:sz w:val="28"/>
          <w:szCs w:val="28"/>
        </w:rPr>
        <w:t xml:space="preserve">сполнительной власти, иными федеральными государственными органами, государственными компаниями и исполнительными органами субъектов Российской Федерации по мере необходимости и на основании предложений, указанных в </w:t>
      </w:r>
      <w:hyperlink w:anchor="P72" w:tooltip="15. При изменении показателей, влекущих необходимость пересмотра категории по гражданской обороне, руководитель организации, указанной в пункте 3 настоящих Правил, не позднее 30-го календарного дня со дня изменения показателей в порядке, определенном пунктом 9"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пунк</w:t>
        </w:r>
        <w:r w:rsidRPr="00E67174">
          <w:rPr>
            <w:rFonts w:ascii="Times New Roman" w:hAnsi="Times New Roman" w:cs="Times New Roman"/>
            <w:color w:val="0000FF"/>
            <w:sz w:val="28"/>
            <w:szCs w:val="28"/>
          </w:rPr>
          <w:t>те 15</w:t>
        </w:r>
      </w:hyperlink>
      <w:r w:rsidRPr="00E67174">
        <w:rPr>
          <w:rFonts w:ascii="Times New Roman" w:hAnsi="Times New Roman" w:cs="Times New Roman"/>
          <w:sz w:val="28"/>
          <w:szCs w:val="28"/>
        </w:rPr>
        <w:t xml:space="preserve"> настоящих Правил, но не реже одного раза в 6 лет в том же порядке, что и отнесение организаций к категориям по гражданской обороне.</w:t>
      </w:r>
    </w:p>
    <w:p w:rsidR="00E67174" w:rsidRDefault="00E67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51C4" w:rsidRPr="00E67174" w:rsidRDefault="003501DF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E67174">
        <w:rPr>
          <w:rFonts w:ascii="Times New Roman" w:hAnsi="Times New Roman" w:cs="Times New Roman"/>
          <w:sz w:val="24"/>
          <w:szCs w:val="28"/>
        </w:rPr>
        <w:lastRenderedPageBreak/>
        <w:t>Приложение N 1</w:t>
      </w:r>
    </w:p>
    <w:p w:rsidR="008451C4" w:rsidRPr="00E67174" w:rsidRDefault="008451C4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</w:p>
    <w:p w:rsidR="008451C4" w:rsidRPr="00E67174" w:rsidRDefault="00D3319D" w:rsidP="00D3319D">
      <w:pPr>
        <w:pStyle w:val="ConsPlusNormal0"/>
        <w:ind w:left="11328"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3501DF" w:rsidRPr="00E67174">
        <w:rPr>
          <w:rFonts w:ascii="Times New Roman" w:hAnsi="Times New Roman" w:cs="Times New Roman"/>
          <w:sz w:val="24"/>
          <w:szCs w:val="28"/>
        </w:rPr>
        <w:t>(форма)</w:t>
      </w:r>
    </w:p>
    <w:p w:rsidR="008451C4" w:rsidRPr="00E67174" w:rsidRDefault="003501DF" w:rsidP="00E67174">
      <w:pPr>
        <w:pStyle w:val="ConsPlusNonformat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1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671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="00E67174">
        <w:rPr>
          <w:rFonts w:ascii="Times New Roman" w:hAnsi="Times New Roman" w:cs="Times New Roman"/>
          <w:sz w:val="28"/>
          <w:szCs w:val="28"/>
        </w:rPr>
        <w:tab/>
      </w:r>
      <w:r w:rsidRPr="00E67174">
        <w:rPr>
          <w:rFonts w:ascii="Times New Roman" w:hAnsi="Times New Roman" w:cs="Times New Roman"/>
          <w:sz w:val="24"/>
          <w:szCs w:val="28"/>
          <w:u w:val="single"/>
        </w:rPr>
        <w:t>Гриф секретности</w:t>
      </w:r>
    </w:p>
    <w:p w:rsidR="008451C4" w:rsidRPr="00E67174" w:rsidRDefault="008451C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8451C4" w:rsidRPr="00E67174" w:rsidRDefault="003501DF" w:rsidP="00E67174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E67174">
        <w:rPr>
          <w:rFonts w:ascii="Times New Roman" w:hAnsi="Times New Roman" w:cs="Times New Roman"/>
          <w:sz w:val="28"/>
          <w:szCs w:val="28"/>
        </w:rPr>
        <w:t>ПРЕДЛОЖЕНИЯ</w:t>
      </w:r>
    </w:p>
    <w:p w:rsidR="008451C4" w:rsidRPr="00E67174" w:rsidRDefault="003501DF" w:rsidP="00E67174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в перечень организаций, отнесенных к категориям</w:t>
      </w:r>
    </w:p>
    <w:p w:rsidR="008451C4" w:rsidRPr="00E67174" w:rsidRDefault="003501DF" w:rsidP="00E67174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по гражданской обороне</w:t>
      </w:r>
    </w:p>
    <w:p w:rsidR="008451C4" w:rsidRPr="00E67174" w:rsidRDefault="003501DF" w:rsidP="00E67174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451C4" w:rsidRPr="00E67174" w:rsidRDefault="003501DF" w:rsidP="00E67174">
      <w:pPr>
        <w:pStyle w:val="ConsPlusNonformat0"/>
        <w:jc w:val="center"/>
        <w:rPr>
          <w:rFonts w:ascii="Times New Roman" w:hAnsi="Times New Roman" w:cs="Times New Roman"/>
          <w:sz w:val="24"/>
          <w:szCs w:val="28"/>
        </w:rPr>
      </w:pPr>
      <w:r w:rsidRPr="00E67174">
        <w:rPr>
          <w:rFonts w:ascii="Times New Roman" w:hAnsi="Times New Roman" w:cs="Times New Roman"/>
          <w:sz w:val="24"/>
          <w:szCs w:val="28"/>
        </w:rPr>
        <w:t>(наименование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2076"/>
        <w:gridCol w:w="2268"/>
        <w:gridCol w:w="2268"/>
        <w:gridCol w:w="1843"/>
        <w:gridCol w:w="1276"/>
        <w:gridCol w:w="1417"/>
        <w:gridCol w:w="1276"/>
        <w:gridCol w:w="1134"/>
      </w:tblGrid>
      <w:tr w:rsidR="008451C4" w:rsidRPr="00E67174" w:rsidTr="00E67174">
        <w:tc>
          <w:tcPr>
            <w:tcW w:w="510" w:type="dxa"/>
            <w:vMerge w:val="restart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87" w:type="dxa"/>
            <w:vMerge w:val="restart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076" w:type="dxa"/>
            <w:vMerge w:val="restart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 (адрес места нахождения)</w:t>
            </w:r>
          </w:p>
        </w:tc>
        <w:tc>
          <w:tcPr>
            <w:tcW w:w="6379" w:type="dxa"/>
            <w:gridSpan w:val="3"/>
          </w:tcPr>
          <w:p w:rsidR="00D3319D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организаций для отнесения к категориям </w:t>
            </w:r>
          </w:p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по гражданской обороне</w:t>
            </w:r>
          </w:p>
        </w:tc>
        <w:tc>
          <w:tcPr>
            <w:tcW w:w="1276" w:type="dxa"/>
            <w:vMerge w:val="restart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693" w:type="dxa"/>
            <w:gridSpan w:val="2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Категория по гражданской обороне</w:t>
            </w:r>
          </w:p>
        </w:tc>
        <w:tc>
          <w:tcPr>
            <w:tcW w:w="1134" w:type="dxa"/>
            <w:vMerge w:val="restart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D331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</w:tr>
      <w:tr w:rsidR="008451C4" w:rsidRPr="00E67174" w:rsidTr="00E67174">
        <w:tc>
          <w:tcPr>
            <w:tcW w:w="510" w:type="dxa"/>
            <w:vMerge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в военное время</w:t>
            </w:r>
          </w:p>
        </w:tc>
        <w:tc>
          <w:tcPr>
            <w:tcW w:w="1843" w:type="dxa"/>
            <w:vMerge w:val="restart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дополнительные показатели</w:t>
            </w:r>
          </w:p>
        </w:tc>
        <w:tc>
          <w:tcPr>
            <w:tcW w:w="1276" w:type="dxa"/>
            <w:vMerge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451C4" w:rsidRPr="00E67174" w:rsidRDefault="00D331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1DF" w:rsidRPr="00E67174">
              <w:rPr>
                <w:rFonts w:ascii="Times New Roman" w:hAnsi="Times New Roman" w:cs="Times New Roman"/>
                <w:sz w:val="24"/>
                <w:szCs w:val="24"/>
              </w:rPr>
              <w:t>уществу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501DF" w:rsidRPr="00E67174">
              <w:rPr>
                <w:rFonts w:ascii="Times New Roman" w:hAnsi="Times New Roman" w:cs="Times New Roman"/>
                <w:sz w:val="24"/>
                <w:szCs w:val="24"/>
              </w:rPr>
              <w:t>ющая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8451C4" w:rsidRPr="00E67174" w:rsidRDefault="00D3319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01DF" w:rsidRPr="00E67174">
              <w:rPr>
                <w:rFonts w:ascii="Times New Roman" w:hAnsi="Times New Roman" w:cs="Times New Roman"/>
                <w:sz w:val="24"/>
                <w:szCs w:val="24"/>
              </w:rPr>
              <w:t>рисва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01DF" w:rsidRPr="00E67174">
              <w:rPr>
                <w:rFonts w:ascii="Times New Roman" w:hAnsi="Times New Roman" w:cs="Times New Roman"/>
                <w:sz w:val="24"/>
                <w:szCs w:val="24"/>
              </w:rPr>
              <w:t>иваемая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C4" w:rsidRPr="00E67174" w:rsidTr="00E67174">
        <w:tc>
          <w:tcPr>
            <w:tcW w:w="510" w:type="dxa"/>
            <w:vMerge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общая численность работающих (человек), численность наибольшей работающей смены (человек)</w:t>
            </w:r>
          </w:p>
        </w:tc>
        <w:tc>
          <w:tcPr>
            <w:tcW w:w="2268" w:type="dxa"/>
          </w:tcPr>
          <w:p w:rsidR="00D3319D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выпускаемой продукции </w:t>
            </w:r>
          </w:p>
          <w:p w:rsidR="00D3319D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 xml:space="preserve">(работ, услуг) </w:t>
            </w: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 xml:space="preserve">для государственных нужд, </w:t>
            </w:r>
          </w:p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тыс. рублей (соответствующих единиц)</w:t>
            </w:r>
          </w:p>
        </w:tc>
        <w:tc>
          <w:tcPr>
            <w:tcW w:w="1843" w:type="dxa"/>
            <w:vMerge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C4" w:rsidRPr="00E67174" w:rsidTr="00E67174">
        <w:trPr>
          <w:trHeight w:val="173"/>
        </w:trPr>
        <w:tc>
          <w:tcPr>
            <w:tcW w:w="510" w:type="dxa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451C4" w:rsidRPr="00E67174" w:rsidRDefault="003501D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51C4" w:rsidRPr="00E67174" w:rsidTr="00E67174">
        <w:trPr>
          <w:trHeight w:val="110"/>
        </w:trPr>
        <w:tc>
          <w:tcPr>
            <w:tcW w:w="510" w:type="dxa"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1C4" w:rsidRPr="00E67174" w:rsidRDefault="008451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C4" w:rsidRPr="00E67174" w:rsidRDefault="008451C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451C4" w:rsidRPr="00E67174" w:rsidRDefault="003501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      </w:t>
      </w:r>
      <w:r w:rsidR="00D3319D">
        <w:rPr>
          <w:rFonts w:ascii="Times New Roman" w:hAnsi="Times New Roman" w:cs="Times New Roman"/>
          <w:sz w:val="28"/>
          <w:szCs w:val="28"/>
        </w:rPr>
        <w:t xml:space="preserve">     </w:t>
      </w:r>
      <w:r w:rsidRPr="00E6717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451C4" w:rsidRPr="00D3319D" w:rsidRDefault="003501DF">
      <w:pPr>
        <w:pStyle w:val="ConsPlusNonformat0"/>
        <w:jc w:val="both"/>
        <w:rPr>
          <w:rFonts w:ascii="Times New Roman" w:hAnsi="Times New Roman" w:cs="Times New Roman"/>
          <w:sz w:val="24"/>
          <w:szCs w:val="28"/>
        </w:rPr>
      </w:pPr>
      <w:r w:rsidRPr="00D3319D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D3319D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Pr="00D3319D">
        <w:rPr>
          <w:rFonts w:ascii="Times New Roman" w:hAnsi="Times New Roman" w:cs="Times New Roman"/>
          <w:sz w:val="24"/>
          <w:szCs w:val="28"/>
        </w:rPr>
        <w:t xml:space="preserve">  </w:t>
      </w:r>
      <w:r w:rsidR="00D3319D">
        <w:rPr>
          <w:rFonts w:ascii="Times New Roman" w:hAnsi="Times New Roman" w:cs="Times New Roman"/>
          <w:sz w:val="24"/>
          <w:szCs w:val="28"/>
        </w:rPr>
        <w:t xml:space="preserve">      </w:t>
      </w:r>
      <w:r w:rsidRPr="00D3319D">
        <w:rPr>
          <w:rFonts w:ascii="Times New Roman" w:hAnsi="Times New Roman" w:cs="Times New Roman"/>
          <w:sz w:val="24"/>
          <w:szCs w:val="28"/>
        </w:rPr>
        <w:t>(подпись, фамилия, инициалы)</w:t>
      </w:r>
    </w:p>
    <w:p w:rsidR="008451C4" w:rsidRPr="00E67174" w:rsidRDefault="008451C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8451C4" w:rsidRPr="00E67174" w:rsidRDefault="003501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подразделения,</w:t>
      </w:r>
    </w:p>
    <w:p w:rsidR="008451C4" w:rsidRPr="00E67174" w:rsidRDefault="003501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>уполномоченного на решение задач</w:t>
      </w:r>
    </w:p>
    <w:p w:rsidR="008451C4" w:rsidRPr="00E67174" w:rsidRDefault="003501D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E67174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             </w:t>
      </w:r>
      <w:r w:rsidR="00D3319D">
        <w:rPr>
          <w:rFonts w:ascii="Times New Roman" w:hAnsi="Times New Roman" w:cs="Times New Roman"/>
          <w:sz w:val="28"/>
          <w:szCs w:val="28"/>
        </w:rPr>
        <w:t xml:space="preserve"> </w:t>
      </w:r>
      <w:r w:rsidRPr="00E6717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451C4" w:rsidRPr="00E67174" w:rsidRDefault="003501DF" w:rsidP="00D3319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D3319D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="00D3319D">
        <w:rPr>
          <w:rFonts w:ascii="Times New Roman" w:hAnsi="Times New Roman" w:cs="Times New Roman"/>
          <w:sz w:val="24"/>
          <w:szCs w:val="28"/>
        </w:rPr>
        <w:t xml:space="preserve">                                               </w:t>
      </w:r>
      <w:r w:rsidRPr="00D3319D">
        <w:rPr>
          <w:rFonts w:ascii="Times New Roman" w:hAnsi="Times New Roman" w:cs="Times New Roman"/>
          <w:sz w:val="24"/>
          <w:szCs w:val="28"/>
        </w:rPr>
        <w:t xml:space="preserve"> (подпись, фамилия, инициалы)</w:t>
      </w:r>
    </w:p>
    <w:p w:rsidR="008451C4" w:rsidRPr="00E67174" w:rsidRDefault="008451C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8451C4" w:rsidRPr="00E67174" w:rsidSect="00D3319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38" w:h="11906" w:orient="landscape"/>
      <w:pgMar w:top="567" w:right="567" w:bottom="567" w:left="567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DF" w:rsidRDefault="003501DF">
      <w:r>
        <w:separator/>
      </w:r>
    </w:p>
  </w:endnote>
  <w:endnote w:type="continuationSeparator" w:id="0">
    <w:p w:rsidR="003501DF" w:rsidRDefault="0035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C4" w:rsidRDefault="008451C4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C4" w:rsidRDefault="008451C4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DF" w:rsidRDefault="003501DF">
      <w:r>
        <w:separator/>
      </w:r>
    </w:p>
  </w:footnote>
  <w:footnote w:type="continuationSeparator" w:id="0">
    <w:p w:rsidR="003501DF" w:rsidRDefault="0035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C4" w:rsidRDefault="008451C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C4" w:rsidRDefault="008451C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51C4"/>
    <w:rsid w:val="003501DF"/>
    <w:rsid w:val="008451C4"/>
    <w:rsid w:val="00D3319D"/>
    <w:rsid w:val="00E6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C1E72-3A20-4613-98C3-24314F79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67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174"/>
  </w:style>
  <w:style w:type="paragraph" w:styleId="a5">
    <w:name w:val="footer"/>
    <w:basedOn w:val="a"/>
    <w:link w:val="a6"/>
    <w:uiPriority w:val="99"/>
    <w:unhideWhenUsed/>
    <w:rsid w:val="00E67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02&amp;dst=10005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27.04.2024 N 546
"Об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населения"</vt:lpstr>
    </vt:vector>
  </TitlesOfParts>
  <Company>КонсультантПлюс Версия 4024.00.32</Company>
  <LinksUpToDate>false</LinksUpToDate>
  <CharactersWithSpaces>22157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27.04.2024 N 546
"Об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населения"</dc:title>
  <cp:lastModifiedBy>Васильев Владимир Аркадьевич</cp:lastModifiedBy>
  <cp:revision>2</cp:revision>
  <dcterms:created xsi:type="dcterms:W3CDTF">2024-10-18T09:09:00Z</dcterms:created>
  <dcterms:modified xsi:type="dcterms:W3CDTF">2024-10-18T09:27:00Z</dcterms:modified>
</cp:coreProperties>
</file>