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5E2D" w14:textId="77777777" w:rsidR="003E6FDD" w:rsidRDefault="003E6FDD" w:rsidP="003E6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3B1F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3B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</w:p>
    <w:p w14:paraId="5CE4C7DA" w14:textId="77777777" w:rsidR="003E6FDD" w:rsidRDefault="003B1F2A" w:rsidP="003E6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194-р</w:t>
      </w:r>
    </w:p>
    <w:p w14:paraId="4FD3D86D" w14:textId="77777777" w:rsidR="003E6FDD" w:rsidRDefault="003E6FDD" w:rsidP="00273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22AC76" w14:textId="77777777" w:rsidR="001E40F2" w:rsidRPr="00EF3E09" w:rsidRDefault="00D12617" w:rsidP="00273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E40F2" w:rsidRPr="00EF3E09">
        <w:rPr>
          <w:rFonts w:ascii="Times New Roman" w:hAnsi="Times New Roman" w:cs="Times New Roman"/>
          <w:color w:val="000000"/>
          <w:sz w:val="28"/>
          <w:szCs w:val="28"/>
        </w:rPr>
        <w:t>екомендуем</w:t>
      </w:r>
      <w:r w:rsidR="004E46BD">
        <w:rPr>
          <w:rFonts w:ascii="Times New Roman" w:hAnsi="Times New Roman" w:cs="Times New Roman"/>
          <w:color w:val="000000"/>
          <w:sz w:val="28"/>
          <w:szCs w:val="28"/>
        </w:rPr>
        <w:t>ая форма</w:t>
      </w:r>
    </w:p>
    <w:p w14:paraId="063EDCB3" w14:textId="77777777" w:rsidR="001E40F2" w:rsidRPr="00B04985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8"/>
          <w:szCs w:val="28"/>
        </w:rPr>
      </w:pPr>
    </w:p>
    <w:p w14:paraId="34A56A7D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В Министерство науки и высшего образования</w:t>
      </w:r>
    </w:p>
    <w:p w14:paraId="48F2FE5F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2D156EDC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4ABA6D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14:paraId="0FDEAC89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6C8DBB70" w14:textId="77777777" w:rsidR="005A013D" w:rsidRPr="00B04985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  <w:sectPr w:rsidR="005A013D" w:rsidRPr="00B04985" w:rsidSect="005F46CB">
          <w:footerReference w:type="default" r:id="rId8"/>
          <w:type w:val="continuous"/>
          <w:pgSz w:w="11906" w:h="16838"/>
          <w:pgMar w:top="1134" w:right="850" w:bottom="1134" w:left="1418" w:header="708" w:footer="708" w:gutter="0"/>
          <w:pgNumType w:start="1"/>
          <w:cols w:space="720"/>
          <w:titlePg/>
          <w:docGrid w:linePitch="299"/>
        </w:sectPr>
      </w:pPr>
      <w:r w:rsidRPr="00B049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(наименование </w:t>
      </w:r>
      <w:r w:rsidR="002730D2" w:rsidRPr="00B04985">
        <w:rPr>
          <w:rFonts w:ascii="Times New Roman" w:hAnsi="Times New Roman" w:cs="Times New Roman"/>
          <w:i/>
          <w:color w:val="000000"/>
          <w:sz w:val="24"/>
          <w:szCs w:val="24"/>
        </w:rPr>
        <w:t>инициатора</w:t>
      </w:r>
      <w:r w:rsidR="00D01A61" w:rsidRPr="00B049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проекта</w:t>
      </w:r>
      <w:r w:rsidR="00D12617" w:rsidRPr="00B04985">
        <w:rPr>
          <w:rStyle w:val="af2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  <w:r w:rsidR="005A013D" w:rsidRPr="00B0498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45CB652" w14:textId="77777777" w:rsidR="001E40F2" w:rsidRPr="008B0ABC" w:rsidRDefault="001E40F2" w:rsidP="005A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B1A5E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4776520"/>
      <w:r w:rsidRPr="00EF3E09">
        <w:rPr>
          <w:rFonts w:ascii="Times New Roman" w:hAnsi="Times New Roman" w:cs="Times New Roman"/>
          <w:color w:val="000000"/>
          <w:sz w:val="28"/>
          <w:szCs w:val="28"/>
        </w:rPr>
        <w:t>для участия в процедуре определения проектов по созданию</w:t>
      </w:r>
      <w:r w:rsidR="00EF3E09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</w:t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университетски</w:t>
      </w:r>
      <w:r w:rsidR="00EF3E0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 xml:space="preserve"> кампус</w:t>
      </w:r>
      <w:r w:rsidR="00EF3E0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 xml:space="preserve"> мирового уровня, реализация которых предполагается в рамках федерального проекта «Развитие инфраструктуры </w:t>
      </w:r>
      <w:r w:rsidR="00B04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 xml:space="preserve">для научных исследований и подготовки кадров» национального проекта </w:t>
      </w:r>
      <w:r w:rsidR="00EF3E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>«Наука и университеты»</w:t>
      </w:r>
      <w:bookmarkEnd w:id="0"/>
      <w:r w:rsidR="00EF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>(далее – процедура определения проектов)</w:t>
      </w:r>
    </w:p>
    <w:p w14:paraId="61BF52ED" w14:textId="77777777" w:rsidR="001E40F2" w:rsidRPr="003A1ECF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4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E40F2" w:rsidRPr="00EF3E09" w14:paraId="57EA217E" w14:textId="77777777" w:rsidTr="00A204D3">
        <w:tc>
          <w:tcPr>
            <w:tcW w:w="9854" w:type="dxa"/>
            <w:tcBorders>
              <w:top w:val="nil"/>
              <w:left w:val="nil"/>
              <w:right w:val="nil"/>
            </w:tcBorders>
          </w:tcPr>
          <w:p w14:paraId="03DD3295" w14:textId="77777777" w:rsidR="001E40F2" w:rsidRPr="00EF3E09" w:rsidRDefault="001E40F2" w:rsidP="001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C13D4C9" w14:textId="77777777" w:rsidR="001E40F2" w:rsidRPr="005A013D" w:rsidRDefault="001E40F2" w:rsidP="00D01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13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D01A61" w:rsidRPr="005A013D">
        <w:rPr>
          <w:rFonts w:ascii="Times New Roman" w:hAnsi="Times New Roman" w:cs="Times New Roman"/>
          <w:color w:val="000000"/>
          <w:sz w:val="24"/>
          <w:szCs w:val="24"/>
        </w:rPr>
        <w:t>инициатора проекта</w:t>
      </w:r>
      <w:r w:rsidRPr="005A01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FD70015" w14:textId="77777777" w:rsidR="003A1ECF" w:rsidRDefault="003A1ECF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AF008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 xml:space="preserve">заявляет о намерении участвовать в процедуре определения проектов </w:t>
      </w:r>
      <w:r w:rsidR="00B04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>и представляет проект</w:t>
      </w:r>
    </w:p>
    <w:p w14:paraId="18474AE9" w14:textId="77777777" w:rsidR="001E40F2" w:rsidRPr="00EF3E09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0211849F" w14:textId="77777777" w:rsidR="001E40F2" w:rsidRPr="005A013D" w:rsidRDefault="001E40F2" w:rsidP="001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13D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проекта)</w:t>
      </w:r>
    </w:p>
    <w:p w14:paraId="75196F2C" w14:textId="77777777" w:rsidR="001E40F2" w:rsidRPr="00EF3E09" w:rsidRDefault="001E40F2" w:rsidP="00EF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обеспечивающий достижение целей, показателей и результатов федерального проекта «Развитие инфраструктуры для научных исследований и подготовки кадров» национального проекта «Наука и университеты».</w:t>
      </w:r>
    </w:p>
    <w:p w14:paraId="6BCAD9A7" w14:textId="77777777" w:rsidR="001E40F2" w:rsidRPr="00EF3E09" w:rsidRDefault="001E40F2" w:rsidP="00EF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подтверждаю соответствие представленного проекта нормам законодательства Российской Федерации и требованиям </w:t>
      </w:r>
      <w:r w:rsidR="00EF3E09">
        <w:rPr>
          <w:rFonts w:ascii="Times New Roman" w:hAnsi="Times New Roman" w:cs="Times New Roman"/>
          <w:color w:val="000000"/>
          <w:sz w:val="28"/>
          <w:szCs w:val="28"/>
        </w:rPr>
        <w:t>распоряжения Минобрнауки России от __</w:t>
      </w:r>
      <w:r w:rsidR="003E6F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EF3E09">
        <w:rPr>
          <w:rFonts w:ascii="Times New Roman" w:hAnsi="Times New Roman" w:cs="Times New Roman"/>
          <w:color w:val="000000"/>
          <w:sz w:val="28"/>
          <w:szCs w:val="28"/>
        </w:rPr>
        <w:t>__ № ____</w:t>
      </w:r>
      <w:r w:rsidR="003E6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0CD75F" w14:textId="77777777" w:rsidR="00D12617" w:rsidRDefault="00D12617" w:rsidP="003A1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E40F2" w:rsidRPr="00EF3E09">
        <w:rPr>
          <w:rFonts w:ascii="Times New Roman" w:hAnsi="Times New Roman" w:cs="Times New Roman"/>
          <w:color w:val="000000"/>
          <w:sz w:val="28"/>
          <w:szCs w:val="28"/>
        </w:rPr>
        <w:t>арантирую</w:t>
      </w:r>
      <w:r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3A1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</w:t>
      </w:r>
      <w:r w:rsidRPr="00FC0B3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3A1ECF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актуальной, </w:t>
      </w:r>
      <w:r w:rsidR="003A1E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данные и расчеты являются </w:t>
      </w:r>
      <w:r w:rsidRPr="00FC0B3F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достоверными, то есть основанными </w:t>
      </w:r>
      <w:r w:rsidR="003A1E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официальных данных, </w:t>
      </w:r>
      <w:r w:rsidRPr="00FC0B3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содержащиеся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прилагаемых документах, </w:t>
      </w:r>
      <w:r w:rsidR="003A1E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 являются п</w:t>
      </w:r>
      <w:r w:rsidRPr="00FC0B3F">
        <w:rPr>
          <w:rFonts w:ascii="Times New Roman" w:hAnsi="Times New Roman" w:cs="Times New Roman"/>
          <w:color w:val="000000"/>
          <w:sz w:val="28"/>
          <w:szCs w:val="28"/>
        </w:rPr>
        <w:t>ротиворечивыми.</w:t>
      </w:r>
    </w:p>
    <w:p w14:paraId="67AF5384" w14:textId="77777777" w:rsidR="00B04985" w:rsidRPr="003A1ECF" w:rsidRDefault="00B04985" w:rsidP="00D12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2407"/>
        <w:gridCol w:w="236"/>
        <w:gridCol w:w="2938"/>
      </w:tblGrid>
      <w:tr w:rsidR="001E40F2" w:rsidRPr="00EF3E09" w14:paraId="5E1DEAA9" w14:textId="77777777" w:rsidTr="00B04985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4C23E065" w14:textId="77777777" w:rsidR="00B04985" w:rsidRPr="00EF3E09" w:rsidRDefault="00D12617" w:rsidP="00B04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B0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высшего исполнительного органа субъекта Российской Федерации / Руководитель образовательной </w:t>
            </w:r>
            <w:r w:rsidR="00B0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организации высшего образования 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17645CAF" w14:textId="77777777" w:rsidR="001E40F2" w:rsidRPr="00EF3E09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445ED3" w14:textId="77777777" w:rsidR="001E40F2" w:rsidRPr="00EF3E09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14:paraId="59F66F6F" w14:textId="77777777" w:rsidR="001E40F2" w:rsidRPr="00EF3E09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0F2" w:rsidRPr="00EF3E09" w14:paraId="1EDF0867" w14:textId="77777777" w:rsidTr="00B04985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3CC04EDB" w14:textId="77777777" w:rsidR="001E40F2" w:rsidRPr="003A1ECF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389DEBE5" w14:textId="77777777" w:rsidR="001E40F2" w:rsidRPr="003A1ECF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3A1ECF">
              <w:rPr>
                <w:rFonts w:ascii="Times New Roman" w:hAnsi="Times New Roman" w:cs="Times New Roman"/>
                <w:i/>
                <w:color w:val="000000"/>
                <w:sz w:val="16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6F7CD8" w14:textId="77777777" w:rsidR="001E40F2" w:rsidRPr="003A1ECF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14:paraId="59153D57" w14:textId="77777777" w:rsidR="001E40F2" w:rsidRPr="003A1ECF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3A1ECF">
              <w:rPr>
                <w:rFonts w:ascii="Times New Roman" w:hAnsi="Times New Roman" w:cs="Times New Roman"/>
                <w:i/>
                <w:color w:val="000000"/>
                <w:sz w:val="16"/>
                <w:szCs w:val="28"/>
              </w:rPr>
              <w:t>(расшифровка подписи)</w:t>
            </w:r>
            <w:r w:rsidR="00B45943">
              <w:rPr>
                <w:rFonts w:ascii="Times New Roman" w:hAnsi="Times New Roman" w:cs="Times New Roman"/>
                <w:i/>
                <w:color w:val="000000"/>
                <w:sz w:val="16"/>
                <w:szCs w:val="28"/>
              </w:rPr>
              <w:t>».</w:t>
            </w:r>
          </w:p>
        </w:tc>
      </w:tr>
    </w:tbl>
    <w:p w14:paraId="6D520A11" w14:textId="77777777" w:rsidR="003A1ECF" w:rsidRDefault="003A1ECF" w:rsidP="003A1E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sectPr w:rsidR="003A1ECF" w:rsidSect="005A013D">
          <w:footnotePr>
            <w:numFmt w:val="chicago"/>
          </w:footnotePr>
          <w:type w:val="continuous"/>
          <w:pgSz w:w="11906" w:h="16838"/>
          <w:pgMar w:top="1134" w:right="850" w:bottom="1134" w:left="1418" w:header="708" w:footer="708" w:gutter="0"/>
          <w:pgNumType w:start="1"/>
          <w:cols w:space="720"/>
        </w:sectPr>
      </w:pPr>
    </w:p>
    <w:p w14:paraId="7F592648" w14:textId="77777777" w:rsidR="00EF3E09" w:rsidRPr="00EF3E09" w:rsidRDefault="00EF3E09" w:rsidP="00EF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Рекомендуем</w:t>
      </w:r>
      <w:r w:rsidR="004E46BD">
        <w:rPr>
          <w:rFonts w:ascii="Times New Roman" w:hAnsi="Times New Roman" w:cs="Times New Roman"/>
          <w:color w:val="000000"/>
          <w:sz w:val="28"/>
          <w:szCs w:val="28"/>
        </w:rPr>
        <w:t>ая форма</w:t>
      </w:r>
    </w:p>
    <w:p w14:paraId="1A1E9EF4" w14:textId="77777777" w:rsidR="001E40F2" w:rsidRDefault="001E40F2" w:rsidP="007C53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4C7CA" w14:textId="77777777" w:rsidR="00EF3E09" w:rsidRPr="001E40F2" w:rsidRDefault="00EF3E09" w:rsidP="007C53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15F5B" w14:textId="77777777" w:rsidR="001E40F2" w:rsidRDefault="001E40F2" w:rsidP="007C53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Паспорт проекта</w:t>
      </w:r>
    </w:p>
    <w:p w14:paraId="34241122" w14:textId="77777777" w:rsidR="00EF3E09" w:rsidRPr="00EF3E09" w:rsidRDefault="00EF3E09" w:rsidP="00EF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3A1ECF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EF3E0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3A1EC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66B20E7B" w14:textId="77777777" w:rsidR="00EF3E09" w:rsidRPr="00EF3E09" w:rsidRDefault="00EF3E09" w:rsidP="00EF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E09">
        <w:rPr>
          <w:rFonts w:ascii="Times New Roman" w:hAnsi="Times New Roman" w:cs="Times New Roman"/>
          <w:color w:val="000000"/>
          <w:sz w:val="28"/>
          <w:szCs w:val="28"/>
        </w:rPr>
        <w:t>(наименование проекта)</w:t>
      </w:r>
    </w:p>
    <w:p w14:paraId="57E26950" w14:textId="77777777" w:rsidR="001E40F2" w:rsidRPr="001E40F2" w:rsidRDefault="001E40F2" w:rsidP="007C53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8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977"/>
        <w:gridCol w:w="1559"/>
        <w:gridCol w:w="1383"/>
        <w:gridCol w:w="5137"/>
      </w:tblGrid>
      <w:tr w:rsidR="001E40F2" w:rsidRPr="001E40F2" w14:paraId="72D0E16A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F9B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425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информация о проекте и обоснование актуальности его реализации</w:t>
            </w:r>
          </w:p>
        </w:tc>
      </w:tr>
      <w:tr w:rsidR="001E40F2" w:rsidRPr="001E40F2" w14:paraId="4AC4F75D" w14:textId="77777777" w:rsidTr="003A1ECF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893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81A9" w14:textId="77777777" w:rsidR="001E40F2" w:rsidRPr="001E40F2" w:rsidRDefault="001E40F2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8197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формулировка, которая будет использоваться для описания объекта в рамках соглашения / контракта</w:t>
            </w:r>
          </w:p>
        </w:tc>
      </w:tr>
      <w:tr w:rsidR="001E40F2" w:rsidRPr="001E40F2" w14:paraId="3C7246C3" w14:textId="77777777" w:rsidTr="003A1ECF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998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BBB7" w14:textId="77777777" w:rsidR="001E40F2" w:rsidRPr="001E40F2" w:rsidRDefault="001E40F2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участники проекта и их роли</w:t>
            </w:r>
            <w:r w:rsidR="00F032BD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63600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Субъект Российской Федерации/образовательные организации высшего образования/частный партнер (при наличии) / строительные подрядчики / финансирующие организации / иные</w:t>
            </w:r>
          </w:p>
        </w:tc>
      </w:tr>
      <w:tr w:rsidR="001E40F2" w:rsidRPr="001E40F2" w14:paraId="40FAC713" w14:textId="77777777" w:rsidTr="003A1ECF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797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6E714C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55FC" w14:textId="77777777" w:rsidR="001E40F2" w:rsidRPr="001E40F2" w:rsidRDefault="001E40F2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и цель реализации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D89B8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основной задачи (текущее состояние), на решение которой направлен проект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D39B55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цели реализации проекта (целевое состояние)</w:t>
            </w:r>
          </w:p>
        </w:tc>
      </w:tr>
      <w:tr w:rsidR="001E40F2" w:rsidRPr="001E40F2" w14:paraId="7604DB9C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EA68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950F" w14:textId="77777777" w:rsidR="001E40F2" w:rsidRPr="001E40F2" w:rsidRDefault="001E40F2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554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ключевые факторы (задачи), обосновывающие актуальность реализации проекта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CBF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цели, на достижение которых направлен проект</w:t>
            </w:r>
          </w:p>
        </w:tc>
      </w:tr>
      <w:tr w:rsidR="001E40F2" w:rsidRPr="001E40F2" w14:paraId="77CFF7CA" w14:textId="77777777" w:rsidTr="003A1ECF">
        <w:trPr>
          <w:trHeight w:val="5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9F80B" w14:textId="77777777" w:rsidR="001E40F2" w:rsidRPr="001E40F2" w:rsidRDefault="00EF3E09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D87F4" w14:textId="77777777" w:rsidR="001E40F2" w:rsidRPr="001E40F2" w:rsidRDefault="001E40F2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отдельного решения по проекту, закрепленного распорядительными актами Президента Российской Федерации, Правительства Российской Федерации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3559D5" w14:textId="77777777" w:rsidR="001E40F2" w:rsidRPr="007C5365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53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 </w:t>
            </w:r>
            <w:r w:rsidRPr="001E40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распорядительного акта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C41114" w14:textId="77777777" w:rsidR="001E40F2" w:rsidRPr="007C5365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53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Параметры проекта</w:t>
            </w:r>
          </w:p>
        </w:tc>
      </w:tr>
      <w:tr w:rsidR="001E40F2" w:rsidRPr="001E40F2" w14:paraId="0FEFBC3F" w14:textId="77777777" w:rsidTr="003A1EC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0430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4608" w14:textId="77777777" w:rsidR="001E40F2" w:rsidRPr="001E40F2" w:rsidRDefault="001E40F2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B4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F08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Параметры проекта, закрепленные распорядительным актом</w:t>
            </w:r>
          </w:p>
        </w:tc>
      </w:tr>
      <w:tr w:rsidR="001E40F2" w:rsidRPr="001E40F2" w14:paraId="700564DA" w14:textId="77777777" w:rsidTr="003A1E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75C1" w14:textId="77777777" w:rsidR="001E40F2" w:rsidRPr="001E40F2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F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6826" w14:textId="77777777" w:rsidR="001E40F2" w:rsidRPr="001E40F2" w:rsidRDefault="001E40F2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проекта целям и/или задачам действующих документов 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стратегического планирования 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федерального уровня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CF372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 стратегического планирования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8463C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целевые показатели / задачи / мероприятия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F3E78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в достижение показателей</w:t>
            </w:r>
          </w:p>
        </w:tc>
      </w:tr>
      <w:tr w:rsidR="001E40F2" w:rsidRPr="001E40F2" w14:paraId="4CA67D43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FE5A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7F9D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8775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7EFA4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соответствующие показатели или </w:t>
            </w:r>
            <w:r w:rsidR="00131559"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задачи,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мероприятия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1640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количественный вклад в достижение показателя / задачи / мероприятия</w:t>
            </w:r>
          </w:p>
        </w:tc>
      </w:tr>
      <w:tr w:rsidR="001E40F2" w:rsidRPr="001E40F2" w14:paraId="73EAD5F7" w14:textId="77777777" w:rsidTr="003A1E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059B2" w14:textId="77777777" w:rsidR="001E40F2" w:rsidRPr="001E40F2" w:rsidRDefault="001E40F2" w:rsidP="00EF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F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DB9C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Стратегии социально-экономического развития субъекта РФ, достижению которых способствует реализация проекта по созданию инфраструктуры кампуса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6D2FBC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CCFF5C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целевые показатели / задачи / мероприятия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6D51D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 в </w:t>
            </w:r>
            <w:r w:rsidR="00131559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показателей</w:t>
            </w:r>
          </w:p>
        </w:tc>
      </w:tr>
      <w:tr w:rsidR="001E40F2" w:rsidRPr="001E40F2" w14:paraId="61DD091D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F4B89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18257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20697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3B78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соответствующие показатели или </w:t>
            </w:r>
            <w:r w:rsidR="00131559"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задачи,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мероприятия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4ACC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Указывается, как создание кампуса увязано со стратегиями развития субъекта РФ, в т.ч. количественный вклад в достижение показателя / задачи / мероприятия</w:t>
            </w:r>
          </w:p>
          <w:p w14:paraId="099630D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09" w:rsidRPr="001E40F2" w14:paraId="2137ECE8" w14:textId="77777777" w:rsidTr="003A1E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38947" w14:textId="77777777" w:rsidR="00EF3E09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EF3E09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670A3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Программ развития образовательных организаций высшего образования (ОО ВО), достижению которых способствует реализация проекта по созданию инфраструктуры кампуса </w:t>
            </w:r>
          </w:p>
          <w:p w14:paraId="353C0331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350CE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4FDF27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целевые показатели / задачи / мероприятия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0BFB9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 в </w:t>
            </w:r>
            <w:r w:rsidR="00131559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показателей</w:t>
            </w:r>
          </w:p>
        </w:tc>
      </w:tr>
      <w:tr w:rsidR="00EF3E09" w:rsidRPr="001E40F2" w14:paraId="7D30504F" w14:textId="77777777" w:rsidTr="003A1E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84BCE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121A2" w14:textId="77777777" w:rsidR="00EF3E09" w:rsidRPr="001E40F2" w:rsidRDefault="00EF3E09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4312B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документа №1</w:t>
            </w:r>
          </w:p>
          <w:p w14:paraId="01DF3F6D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отношении ОО ВО № 1)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0F55D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соответствующие показатели или </w:t>
            </w:r>
            <w:r w:rsidR="00131559"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задачи,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мероприятия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1D68B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Указывается, как создание кампуса увязано с программой развития </w:t>
            </w:r>
            <w:r w:rsidR="00131559"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</w:t>
            </w:r>
            <w:r w:rsidR="00E11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1559"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ВО,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т.ч. количественный вклад в достижение показателя / задачи / мероприятия</w:t>
            </w:r>
          </w:p>
        </w:tc>
      </w:tr>
      <w:tr w:rsidR="00EF3E09" w:rsidRPr="001E40F2" w14:paraId="5870F938" w14:textId="77777777" w:rsidTr="003A1E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5E148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0674A" w14:textId="77777777" w:rsidR="00EF3E09" w:rsidRPr="001E40F2" w:rsidRDefault="00EF3E09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75D73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документа №2</w:t>
            </w:r>
          </w:p>
          <w:p w14:paraId="6738B6E7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отношении ОО ВО № 1)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DA99E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соответствующие показатели или </w:t>
            </w:r>
            <w:r w:rsidR="00131559"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задачи,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мероприятия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0C2E1" w14:textId="77777777" w:rsidR="00EF3E09" w:rsidRPr="001E40F2" w:rsidRDefault="00EF3E09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Указывается, как создание кампуса увязано с программой развития ОО</w:t>
            </w:r>
            <w:r w:rsidR="00E11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ВО, в т.ч. количественный вклад в достижение показателя / задачи / мероприятия</w:t>
            </w:r>
          </w:p>
        </w:tc>
      </w:tr>
      <w:tr w:rsidR="001E40F2" w:rsidRPr="001E40F2" w14:paraId="14D93C97" w14:textId="77777777" w:rsidTr="003A1ECF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BE20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E40F2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90D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 менее одного университета – бенефициара проекта в программе стратегического академического лидерства «Приоритет - 2030»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153D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реквизиты заявки на участие в программе стратегического академического лидерства «Приоритет - 2030» с приложением заявки </w:t>
            </w:r>
          </w:p>
        </w:tc>
      </w:tr>
      <w:tr w:rsidR="001E40F2" w:rsidRPr="001E40F2" w14:paraId="0697975D" w14:textId="77777777" w:rsidTr="003A1ECF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127" w14:textId="77777777" w:rsidR="001E40F2" w:rsidRPr="001E40F2" w:rsidRDefault="00A3298F" w:rsidP="00F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F0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D2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Представленность не менее одного университета – бенефициара проекта в между</w:t>
            </w:r>
            <w:r w:rsidR="00A32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 рейтингах университетов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43D7D" w14:textId="77777777" w:rsidR="001E40F2" w:rsidRPr="001E40F2" w:rsidRDefault="001E40F2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позиции в международных рейтингах университетов</w:t>
            </w:r>
            <w:r w:rsidR="00A32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 w:rsidR="00A3298F" w:rsidRPr="00A32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QS, THE, ARWU</w:t>
            </w:r>
            <w:r w:rsidR="00A32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Московский международный рейтинг «</w:t>
            </w:r>
            <w:r w:rsidR="00A3298F" w:rsidRPr="00A32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Три миссии университета</w:t>
            </w:r>
            <w:r w:rsidR="00A32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»)</w:t>
            </w:r>
          </w:p>
        </w:tc>
      </w:tr>
      <w:tr w:rsidR="001E40F2" w:rsidRPr="001E40F2" w14:paraId="07ADCBF2" w14:textId="77777777" w:rsidTr="003A1ECF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20C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  <w:r w:rsidR="00A32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7FD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экспортного потенциала</w:t>
            </w:r>
            <w:r w:rsidRPr="001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университетов – бенефициаров проекта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F599E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Рейтинг университетов по экспортному потенциалу, определенный в соответствии с методикой Минобрнауки России</w:t>
            </w:r>
          </w:p>
        </w:tc>
      </w:tr>
      <w:tr w:rsidR="001E40F2" w:rsidRPr="001E40F2" w14:paraId="155AACBF" w14:textId="77777777" w:rsidTr="003A1ECF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DF6" w14:textId="77777777" w:rsidR="001E40F2" w:rsidRPr="001E40F2" w:rsidRDefault="001E40F2" w:rsidP="00F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0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8A8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проекта в развитие межвузовской коллаб</w:t>
            </w:r>
            <w:r w:rsidR="005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орации, а также в формирование 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консорциумов с образовательными, научными и иными организациями и компаниями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30CB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Указывается, как инфраструктура кампуса и его функциональное наполнение будут способствовать развитию межвузовской коллаборации</w:t>
            </w:r>
          </w:p>
        </w:tc>
      </w:tr>
      <w:tr w:rsidR="001E40F2" w:rsidRPr="001E40F2" w14:paraId="357C11D3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CD53" w14:textId="77777777" w:rsidR="001E40F2" w:rsidRPr="001E40F2" w:rsidRDefault="001E40F2" w:rsidP="00F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0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D89C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реализация проекта будет способствовать развитию сотрудничества образовательных организаций высшего образования с государственными корпорациями/ ведущими российскими компаниями/ малым и средним бизнесом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8A69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Например, путем продвижения прикладной научной деятельности / коммерциализации результатов интеллектуальной деятельности/ создания новых рабочих мест, проч.</w:t>
            </w:r>
          </w:p>
        </w:tc>
      </w:tr>
      <w:tr w:rsidR="001E40F2" w:rsidRPr="001E40F2" w14:paraId="7F2325B7" w14:textId="77777777" w:rsidTr="003A1ECF">
        <w:trPr>
          <w:trHeight w:val="1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A830" w14:textId="77777777" w:rsidR="001E40F2" w:rsidRPr="001E40F2" w:rsidRDefault="001E40F2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F0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51FC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проекта в создание инновационной экосистемы кампуса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6704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Например,</w:t>
            </w:r>
          </w:p>
          <w:p w14:paraId="7FE9EE19" w14:textId="77777777" w:rsidR="001E40F2" w:rsidRPr="001E40F2" w:rsidRDefault="001E40F2" w:rsidP="007C53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в рамках проекта принципиально новой научно-образовательной и инновационной инфраструктуры (описать)</w:t>
            </w:r>
          </w:p>
          <w:p w14:paraId="4C6039A1" w14:textId="77777777" w:rsidR="001E40F2" w:rsidRPr="001E40F2" w:rsidRDefault="001E40F2" w:rsidP="007C53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создание на территории кампуса студенческих технопарков и бизнес-инкубаторов </w:t>
            </w:r>
          </w:p>
          <w:p w14:paraId="228FBBC4" w14:textId="77777777" w:rsidR="001E40F2" w:rsidRPr="001E40F2" w:rsidRDefault="001E40F2" w:rsidP="007C53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внедрение в экономику и социальную сферу высоких технологий</w:t>
            </w:r>
          </w:p>
        </w:tc>
      </w:tr>
      <w:tr w:rsidR="001E40F2" w:rsidRPr="001E40F2" w14:paraId="0FB25BDA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E3AE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  <w:r w:rsidR="001E40F2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9F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Интегрированность проекта в городскую среду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BC56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Указать с описанием:</w:t>
            </w:r>
          </w:p>
          <w:p w14:paraId="40D0D922" w14:textId="77777777" w:rsidR="001E40F2" w:rsidRPr="001E40F2" w:rsidRDefault="001E40F2" w:rsidP="007C53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отвечает ли создаваемая инфраструктура критерию доступности жителям города, </w:t>
            </w:r>
          </w:p>
          <w:p w14:paraId="2726C997" w14:textId="77777777" w:rsidR="001E40F2" w:rsidRPr="001E40F2" w:rsidRDefault="001E40F2" w:rsidP="007C53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предполагается ли интеграция кампуса в общую инфраструктуру города, используемую повседневно жителями (общегородская территория, открытые общественные зоны)</w:t>
            </w:r>
          </w:p>
          <w:p w14:paraId="16107056" w14:textId="77777777" w:rsidR="001E40F2" w:rsidRPr="001E40F2" w:rsidRDefault="001E40F2" w:rsidP="007C53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предусмотрено ли концепцией проекта использование современных архитектурно-планировочных решений </w:t>
            </w:r>
          </w:p>
        </w:tc>
      </w:tr>
      <w:tr w:rsidR="001E40F2" w:rsidRPr="001E40F2" w14:paraId="4D1B0031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6E0C" w14:textId="77777777" w:rsidR="001E40F2" w:rsidRPr="001E40F2" w:rsidRDefault="001E40F2" w:rsidP="00F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F0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9083" w14:textId="77777777" w:rsidR="001E40F2" w:rsidRDefault="001E40F2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и прогнозный дефицит мест для проживания обучающихся в городе реализации проекта, согласно программам развития образовательных организаций высшего образования до 2030</w:t>
            </w:r>
            <w:r w:rsidR="00A32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увязанный в масштабах города / агломерации реализации проекта, субъекта Российской Федерации</w:t>
            </w:r>
          </w:p>
          <w:p w14:paraId="77A0B65F" w14:textId="77777777" w:rsidR="00A3298F" w:rsidRPr="001E40F2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150F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3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6"/>
              <w:gridCol w:w="758"/>
              <w:gridCol w:w="758"/>
              <w:gridCol w:w="758"/>
              <w:gridCol w:w="758"/>
              <w:gridCol w:w="758"/>
              <w:gridCol w:w="758"/>
              <w:gridCol w:w="758"/>
              <w:gridCol w:w="758"/>
              <w:gridCol w:w="758"/>
              <w:gridCol w:w="758"/>
              <w:gridCol w:w="758"/>
            </w:tblGrid>
            <w:tr w:rsidR="001E40F2" w:rsidRPr="001E40F2" w14:paraId="6A3884E1" w14:textId="77777777" w:rsidTr="00F032BD">
              <w:trPr>
                <w:trHeight w:val="264"/>
              </w:trPr>
              <w:tc>
                <w:tcPr>
                  <w:tcW w:w="1996" w:type="dxa"/>
                </w:tcPr>
                <w:p w14:paraId="5B0C410A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58" w:type="dxa"/>
                </w:tcPr>
                <w:p w14:paraId="0027FBB9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58" w:type="dxa"/>
                </w:tcPr>
                <w:p w14:paraId="18F08894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58" w:type="dxa"/>
                </w:tcPr>
                <w:p w14:paraId="5EB45B39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58" w:type="dxa"/>
                </w:tcPr>
                <w:p w14:paraId="481C9086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58" w:type="dxa"/>
                </w:tcPr>
                <w:p w14:paraId="0AE14989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58" w:type="dxa"/>
                </w:tcPr>
                <w:p w14:paraId="7FCED2F9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58" w:type="dxa"/>
                </w:tcPr>
                <w:p w14:paraId="3C80A23A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58" w:type="dxa"/>
                </w:tcPr>
                <w:p w14:paraId="2DDC6A02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758" w:type="dxa"/>
                </w:tcPr>
                <w:p w14:paraId="7BDB8785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758" w:type="dxa"/>
                </w:tcPr>
                <w:p w14:paraId="2FEAED62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758" w:type="dxa"/>
                </w:tcPr>
                <w:p w14:paraId="62A18A03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2030</w:t>
                  </w:r>
                </w:p>
              </w:tc>
            </w:tr>
            <w:tr w:rsidR="001E40F2" w:rsidRPr="001E40F2" w14:paraId="37D4BFCB" w14:textId="77777777" w:rsidTr="00F032BD">
              <w:trPr>
                <w:trHeight w:val="264"/>
              </w:trPr>
              <w:tc>
                <w:tcPr>
                  <w:tcW w:w="1996" w:type="dxa"/>
                </w:tcPr>
                <w:p w14:paraId="154EAC3E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Дефицит, места</w:t>
                  </w:r>
                </w:p>
              </w:tc>
              <w:tc>
                <w:tcPr>
                  <w:tcW w:w="758" w:type="dxa"/>
                </w:tcPr>
                <w:p w14:paraId="06328DB6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5C7321A8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47DF201E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55E002ED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0DDD2ABF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78BDA365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1E325ADF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0CD4D62F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5C299340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4202F7B5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06E5C575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7CEA19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3D6CC6AD" w14:textId="77777777" w:rsidTr="003A1ECF">
        <w:trPr>
          <w:trHeight w:val="1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30E5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  <w:r w:rsidR="001E40F2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738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роста </w:t>
            </w:r>
            <w:r w:rsidR="00A32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численности 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привлекаемых </w:t>
            </w:r>
          </w:p>
          <w:p w14:paraId="097877B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иностранных студентов</w:t>
            </w:r>
          </w:p>
          <w:p w14:paraId="6D9631C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иногородних студентов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067E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ежегодные данные за последние 5 лет, а также динамика на перспективу до 2030 г. об общей численности иностранных и иногородних студентов, обучающихся по программам бакалавриата, специалитета, магистратуры в образовательных организациях высшего образования в городе реализации проекта</w:t>
            </w:r>
          </w:p>
          <w:tbl>
            <w:tblPr>
              <w:tblW w:w="103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0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</w:tblGrid>
            <w:tr w:rsidR="001E40F2" w:rsidRPr="001E40F2" w14:paraId="735356A7" w14:textId="77777777" w:rsidTr="00F032BD">
              <w:trPr>
                <w:trHeight w:val="240"/>
              </w:trPr>
              <w:tc>
                <w:tcPr>
                  <w:tcW w:w="2260" w:type="dxa"/>
                </w:tcPr>
                <w:p w14:paraId="489EBCD8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74" w:type="dxa"/>
                </w:tcPr>
                <w:p w14:paraId="0CBF7F97" w14:textId="77777777" w:rsidR="001E40F2" w:rsidRPr="00F032BD" w:rsidRDefault="001E40F2" w:rsidP="00F032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2017</w:t>
                  </w:r>
                </w:p>
              </w:tc>
              <w:tc>
                <w:tcPr>
                  <w:tcW w:w="674" w:type="dxa"/>
                </w:tcPr>
                <w:p w14:paraId="298E8485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2018</w:t>
                  </w:r>
                </w:p>
              </w:tc>
              <w:tc>
                <w:tcPr>
                  <w:tcW w:w="674" w:type="dxa"/>
                </w:tcPr>
                <w:p w14:paraId="5B7EB2CA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2019</w:t>
                  </w:r>
                </w:p>
              </w:tc>
              <w:tc>
                <w:tcPr>
                  <w:tcW w:w="674" w:type="dxa"/>
                </w:tcPr>
                <w:p w14:paraId="269DCC5F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2020</w:t>
                  </w:r>
                </w:p>
              </w:tc>
              <w:tc>
                <w:tcPr>
                  <w:tcW w:w="674" w:type="dxa"/>
                </w:tcPr>
                <w:p w14:paraId="0EB61BF3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2021</w:t>
                  </w:r>
                </w:p>
              </w:tc>
              <w:tc>
                <w:tcPr>
                  <w:tcW w:w="674" w:type="dxa"/>
                </w:tcPr>
                <w:p w14:paraId="7B5AFF08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2022</w:t>
                  </w:r>
                </w:p>
              </w:tc>
              <w:tc>
                <w:tcPr>
                  <w:tcW w:w="674" w:type="dxa"/>
                </w:tcPr>
                <w:p w14:paraId="6CF6DA3A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2023</w:t>
                  </w:r>
                </w:p>
              </w:tc>
              <w:tc>
                <w:tcPr>
                  <w:tcW w:w="674" w:type="dxa"/>
                </w:tcPr>
                <w:p w14:paraId="551EDAE1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2024</w:t>
                  </w:r>
                </w:p>
              </w:tc>
              <w:tc>
                <w:tcPr>
                  <w:tcW w:w="674" w:type="dxa"/>
                </w:tcPr>
                <w:p w14:paraId="1BBFD4AA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2025</w:t>
                  </w:r>
                </w:p>
              </w:tc>
              <w:tc>
                <w:tcPr>
                  <w:tcW w:w="674" w:type="dxa"/>
                </w:tcPr>
                <w:p w14:paraId="294E38F4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2026</w:t>
                  </w:r>
                </w:p>
              </w:tc>
              <w:tc>
                <w:tcPr>
                  <w:tcW w:w="674" w:type="dxa"/>
                </w:tcPr>
                <w:p w14:paraId="38EBAF26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…</w:t>
                  </w:r>
                </w:p>
              </w:tc>
              <w:tc>
                <w:tcPr>
                  <w:tcW w:w="674" w:type="dxa"/>
                </w:tcPr>
                <w:p w14:paraId="44AB1BB9" w14:textId="77777777" w:rsidR="001E40F2" w:rsidRPr="00F032BD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F032BD">
                    <w:rPr>
                      <w:rFonts w:ascii="Times New Roman" w:hAnsi="Times New Roman" w:cs="Times New Roman"/>
                      <w:i/>
                      <w:color w:val="000000"/>
                      <w:szCs w:val="24"/>
                    </w:rPr>
                    <w:t>2030</w:t>
                  </w:r>
                </w:p>
              </w:tc>
            </w:tr>
            <w:tr w:rsidR="001E40F2" w:rsidRPr="001E40F2" w14:paraId="6C3D67FC" w14:textId="77777777" w:rsidTr="00F032BD">
              <w:trPr>
                <w:trHeight w:val="240"/>
              </w:trPr>
              <w:tc>
                <w:tcPr>
                  <w:tcW w:w="2260" w:type="dxa"/>
                </w:tcPr>
                <w:p w14:paraId="5F304BB0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Иностр</w:t>
                  </w:r>
                  <w:proofErr w:type="spellEnd"/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 студенты (кол-во чел.)</w:t>
                  </w:r>
                </w:p>
              </w:tc>
              <w:tc>
                <w:tcPr>
                  <w:tcW w:w="674" w:type="dxa"/>
                </w:tcPr>
                <w:p w14:paraId="5AD48510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2601A6C2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28672231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179770BE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27CCF2AE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7C86C5E3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59629D02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372E4632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0547B84C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2B75DDB4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63C70EAA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668A8C83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40F2" w:rsidRPr="001E40F2" w14:paraId="5D54B00C" w14:textId="77777777" w:rsidTr="00F032BD">
              <w:trPr>
                <w:trHeight w:val="240"/>
              </w:trPr>
              <w:tc>
                <w:tcPr>
                  <w:tcW w:w="2260" w:type="dxa"/>
                </w:tcPr>
                <w:p w14:paraId="0ACB2C0E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Иногородние студенты </w:t>
                  </w:r>
                </w:p>
                <w:p w14:paraId="2F65D227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40F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(кол-во чел.)</w:t>
                  </w:r>
                </w:p>
              </w:tc>
              <w:tc>
                <w:tcPr>
                  <w:tcW w:w="674" w:type="dxa"/>
                </w:tcPr>
                <w:p w14:paraId="703BFD6E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487647F1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7CB2C070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708D8B5C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0128403D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0035025C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0CA83E9F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2D770568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4A17383A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77D4F3EA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3F9E58F6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14:paraId="38C7A012" w14:textId="77777777" w:rsidR="001E40F2" w:rsidRPr="001E40F2" w:rsidRDefault="001E40F2" w:rsidP="007C53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4F2B09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7E84755C" w14:textId="77777777" w:rsidTr="003A1ECF">
        <w:trPr>
          <w:trHeight w:val="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B6F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49F7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профилей подготовки университетов – бенефициаров проекта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7953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Соответствие (текущее и прогнозное) профилей подготовки и специальностей перспективным и востребованным специальностям, а также «профессиям будущего».</w:t>
            </w:r>
          </w:p>
        </w:tc>
      </w:tr>
      <w:tr w:rsidR="001E40F2" w:rsidRPr="001E40F2" w14:paraId="0D97F451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977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  <w:r w:rsidR="001E40F2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6B90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степени проработки проекта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F4B4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Указать:</w:t>
            </w:r>
          </w:p>
          <w:p w14:paraId="1897C613" w14:textId="77777777" w:rsidR="001E40F2" w:rsidRPr="001E40F2" w:rsidRDefault="001E40F2" w:rsidP="007C53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Перечень ранее проведенных и осуществляемых в настоящее время мероприятий по реализации проекта</w:t>
            </w:r>
          </w:p>
          <w:p w14:paraId="1196943B" w14:textId="77777777" w:rsidR="001E40F2" w:rsidRPr="001E40F2" w:rsidRDefault="001E40F2" w:rsidP="007C53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Дата и уровень принятия решения о необходимости реализации проекта</w:t>
            </w:r>
          </w:p>
          <w:p w14:paraId="58C1604B" w14:textId="77777777" w:rsidR="001E40F2" w:rsidRPr="001E40F2" w:rsidRDefault="001E40F2" w:rsidP="007C53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Наличие подтвержденной субъектом РФ готовности финансирования и обеспечения планируемого к созданию объекта (</w:t>
            </w:r>
            <w:proofErr w:type="spellStart"/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</w:t>
            </w:r>
            <w:proofErr w:type="spellEnd"/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 сетями инженерного обеспечения и транспортной инфраструктуры</w:t>
            </w:r>
          </w:p>
        </w:tc>
      </w:tr>
      <w:tr w:rsidR="001E40F2" w:rsidRPr="001E40F2" w14:paraId="664FC101" w14:textId="77777777" w:rsidTr="003A1ECF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D74" w14:textId="77777777" w:rsidR="001E40F2" w:rsidRPr="001E40F2" w:rsidRDefault="001E40F2" w:rsidP="00F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F0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7D3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обеспечении вопросов безопасности кампуса 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8A78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описание вопросов зонирования территорий и объектов для доступа разным категориям лиц (резидентам и не резидентам кампуса)</w:t>
            </w:r>
          </w:p>
        </w:tc>
      </w:tr>
      <w:tr w:rsidR="001E40F2" w:rsidRPr="001E40F2" w14:paraId="3E5082BE" w14:textId="77777777" w:rsidTr="003A1ECF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30D6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  <w:r w:rsidR="001E40F2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3A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применении энергоэффективных и экологичных технологий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33E0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проектные технологические решения для обеспечения энергоэффективности и экологичности эксплуатации кампуса</w:t>
            </w:r>
          </w:p>
        </w:tc>
      </w:tr>
      <w:tr w:rsidR="001E40F2" w:rsidRPr="001E40F2" w14:paraId="111C989A" w14:textId="77777777" w:rsidTr="003A1ECF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CD4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  <w:r w:rsidR="001E40F2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A7A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создаваемого кампуса на улучшение индекса качества городской среды города реализации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CCAC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текущие показатели индексов качества городской среды, применяемые в расчете согласно постановлению Правительства РФ от 23 марта 2019 года N 510-р, а также их предполагаемое изменение в связи с реализации проекта на территории города</w:t>
            </w:r>
          </w:p>
        </w:tc>
      </w:tr>
      <w:tr w:rsidR="001E40F2" w:rsidRPr="001E40F2" w14:paraId="403E385C" w14:textId="77777777" w:rsidTr="003A1ECF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1108" w14:textId="77777777" w:rsidR="001E40F2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584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проектах по развитию инфраструктуры университетов – бенефициаров проекта с использованием государственной поддержки, реализованных / реализуемых в течение последних 5 лет.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D08F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основные параметры таких проектов, объем государственной поддержки, основные эффекты от реализации проектов, уровень </w:t>
            </w:r>
            <w:r w:rsidR="007101A8"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загруженности,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созданной / создаваемой в рамках проектов инфраструктуры (отдельно по каждому проекту)</w:t>
            </w:r>
          </w:p>
        </w:tc>
      </w:tr>
      <w:tr w:rsidR="001E40F2" w:rsidRPr="001E40F2" w14:paraId="45C21E17" w14:textId="77777777" w:rsidTr="003A1ECF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FD9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270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Передаваемое и создаваемое имущество, а также предоставляемые земельные участки, задействованные в рамках проекта</w:t>
            </w:r>
          </w:p>
        </w:tc>
      </w:tr>
      <w:tr w:rsidR="001E40F2" w:rsidRPr="001E40F2" w14:paraId="1D486785" w14:textId="77777777" w:rsidTr="003A1E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323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79D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Создаваемое имущество в рамках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69E02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имущества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C84695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(краткое) описание</w:t>
            </w:r>
          </w:p>
        </w:tc>
      </w:tr>
      <w:tr w:rsidR="001E40F2" w:rsidRPr="001E40F2" w14:paraId="6AE76022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254A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8F22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B995" w14:textId="77777777" w:rsid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создаваемого (строящегося, реконструируемого) имущества</w:t>
            </w:r>
          </w:p>
          <w:p w14:paraId="5A9265BD" w14:textId="77777777" w:rsidR="00F032BD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5F0FB" w14:textId="77777777" w:rsidR="00F032BD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0AA78D" w14:textId="77777777" w:rsidR="00F032BD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81F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общая площадь/ мощность/ иные основные технико-экономические параметры создаваемого (</w:t>
            </w:r>
            <w:proofErr w:type="spellStart"/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ых</w:t>
            </w:r>
            <w:proofErr w:type="spellEnd"/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 объекта (</w:t>
            </w:r>
            <w:proofErr w:type="spellStart"/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</w:t>
            </w:r>
            <w:proofErr w:type="spellEnd"/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7E803D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1E40F2" w:rsidRPr="001E40F2" w14:paraId="32E3DF31" w14:textId="77777777" w:rsidTr="003A1E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FF82E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0D20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(требования) о земельных участках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4738A7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земельных участках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55492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/ требования</w:t>
            </w:r>
          </w:p>
        </w:tc>
      </w:tr>
      <w:tr w:rsidR="001E40F2" w:rsidRPr="001E40F2" w14:paraId="72808C79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630F7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16F97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2B11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Месторасположение с указанием кадастрового номера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FE8BE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адрес земельного </w:t>
            </w:r>
            <w:r w:rsidR="007101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участка, кадастровый(</w:t>
            </w:r>
            <w:proofErr w:type="spellStart"/>
            <w:r w:rsidR="007101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ые</w:t>
            </w:r>
            <w:proofErr w:type="spellEnd"/>
            <w:r w:rsidR="007101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 номер</w:t>
            </w: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(а)</w:t>
            </w:r>
          </w:p>
        </w:tc>
      </w:tr>
      <w:tr w:rsidR="001E40F2" w:rsidRPr="001E40F2" w14:paraId="694211F8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9FACA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6E289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D82B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и иные базовые характеристики выбранного земельного участка (земельных участков)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CF50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40F2" w:rsidRPr="001E40F2" w14:paraId="1ED1A0E6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848E9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1E91E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8C88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обременения или ограничения прав на земельные участки (если применимо)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2292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Например, информация о наличии на земельном участке недвижимых объектов, право собственности на которые принадлежит третьим лицам и др.</w:t>
            </w:r>
          </w:p>
        </w:tc>
      </w:tr>
      <w:tr w:rsidR="001E40F2" w:rsidRPr="001E40F2" w14:paraId="38A72366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66853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D3103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E197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Имеющаяся инженерная и транспортная инфраструктура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451E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информация о наличии имеющейся инженерной инфраструктуры, необходимой для функционирования объекта соглашения, а также наличие резервов инженерных и транспортных сетей</w:t>
            </w:r>
          </w:p>
        </w:tc>
      </w:tr>
      <w:tr w:rsidR="001E40F2" w:rsidRPr="001E40F2" w14:paraId="68594B29" w14:textId="77777777" w:rsidTr="003A1ECF">
        <w:trPr>
          <w:trHeight w:val="1072"/>
        </w:trPr>
        <w:tc>
          <w:tcPr>
            <w:tcW w:w="709" w:type="dxa"/>
            <w:vMerge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5CC07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12FCB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32CFA" w14:textId="77777777" w:rsid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Необходимая инженерная и транспортная инфраструктура</w:t>
            </w:r>
          </w:p>
          <w:p w14:paraId="55214F6E" w14:textId="77777777" w:rsidR="00F032BD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F11C47" w14:textId="77777777" w:rsidR="00F032BD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D6D085" w14:textId="77777777" w:rsidR="00F032BD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0A5A8E" w14:textId="77777777" w:rsidR="003A1ECF" w:rsidRDefault="003A1ECF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40C411" w14:textId="77777777" w:rsidR="00F032BD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AE88C7" w14:textId="77777777" w:rsidR="00F032BD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23ADE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информация о необходимости подведения инженерной инфраструктуры в целях обеспечения функционирования объекта соглашения</w:t>
            </w:r>
          </w:p>
        </w:tc>
      </w:tr>
      <w:tr w:rsidR="001E40F2" w:rsidRPr="001E40F2" w14:paraId="76F35E39" w14:textId="77777777" w:rsidTr="003A1ECF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4F0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291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аспекты реализации проекта</w:t>
            </w:r>
          </w:p>
        </w:tc>
      </w:tr>
      <w:tr w:rsidR="001E40F2" w:rsidRPr="001E40F2" w14:paraId="02CD7D0D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AF1C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4AF7E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Предполагаемая правовая форма реализации проекта 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D6B6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механизм реализации проекта (государственный контракт/ концессионное соглашение/ иные)</w:t>
            </w:r>
          </w:p>
        </w:tc>
      </w:tr>
      <w:tr w:rsidR="001E40F2" w:rsidRPr="001E40F2" w14:paraId="0FE5DCBA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052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9BA88" w14:textId="77777777" w:rsidR="001E40F2" w:rsidRPr="001E40F2" w:rsidRDefault="001E40F2" w:rsidP="006E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наличии необходимых для реализации проекта нормативных правовых актах и </w:t>
            </w:r>
            <w:proofErr w:type="gramStart"/>
            <w:r w:rsidR="006E0820"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 условиях</w:t>
            </w:r>
            <w:proofErr w:type="gramEnd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сроках их принятия, в случае необходимости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5CC9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наименование необходимого НПА, сроки его принятия (фактические или плановые)</w:t>
            </w:r>
          </w:p>
        </w:tc>
      </w:tr>
      <w:tr w:rsidR="001E40F2" w:rsidRPr="001E40F2" w14:paraId="7E0EF08E" w14:textId="77777777" w:rsidTr="003A1ECF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D54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1A40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значимые правовые аспекты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DA5C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40F2" w:rsidRPr="001E40F2" w14:paraId="669D13CB" w14:textId="77777777" w:rsidTr="003A1ECF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92E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CB47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Технико-экономические параметры проекта</w:t>
            </w:r>
          </w:p>
        </w:tc>
      </w:tr>
      <w:tr w:rsidR="001E40F2" w:rsidRPr="001E40F2" w14:paraId="0BDB9EF9" w14:textId="77777777" w:rsidTr="003A1E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D4B0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353A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наполнение проекта </w:t>
            </w:r>
          </w:p>
          <w:p w14:paraId="3AAD3C4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разрезе функциональных зон) 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7CD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перечень создаваемых в рамках проекта объектов капитального строительства в разрезе по функциональному зонированию (жилье, образование, библиотечный комплекс, спорт, досуг, культура, коммерческая деятельность, торговля, общественное питание, социальное и коммунально-бытовое назначение и т.д.)</w:t>
            </w:r>
          </w:p>
        </w:tc>
      </w:tr>
      <w:tr w:rsidR="001E40F2" w:rsidRPr="001E40F2" w14:paraId="0D8E7303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7FE4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D019B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A35E7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инфраструктуры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6CD0A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м кв.</w:t>
            </w:r>
          </w:p>
        </w:tc>
      </w:tr>
      <w:tr w:rsidR="001E40F2" w:rsidRPr="001E40F2" w14:paraId="7B0B2EF2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EFECD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1C79B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439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 № 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361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1AB2F811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4F505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8AB70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D3C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жилье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A3C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23C747E0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3569A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E3526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DF8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спорт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070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39931A90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D15EC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EC565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22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досуг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B4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652234A1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EE53F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D810C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770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-иные, соответствующие распоряжению Минобрнауки России от 09.06.2021 №194-р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227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0AEEA9F1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9E2BF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CA68E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887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 № 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8F14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7B3ECCD9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A3475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B1EEF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73A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 № 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8F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2F967037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58EC1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24793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947D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 № 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13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2CBC4FDF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BB889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32F59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190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 № 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4957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07B9A8DF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0D981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50C3E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39352" w14:textId="77777777" w:rsid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  <w:p w14:paraId="6D5780BC" w14:textId="77777777" w:rsidR="00F032BD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2A53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3A640178" w14:textId="77777777" w:rsidTr="003A1ECF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01DB8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10A3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проекта, лет</w:t>
            </w:r>
          </w:p>
        </w:tc>
        <w:tc>
          <w:tcPr>
            <w:tcW w:w="59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81A8E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38DC30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1E40F2" w:rsidRPr="001E40F2" w14:paraId="65159116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91EE1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25FBF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38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2AD9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6231A7B3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BD30F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CA6AA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94C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25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5A6D241B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B58EB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EEF83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AA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C5C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0DB4121A" w14:textId="77777777" w:rsidTr="003A1E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EFE4C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E5EF5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проекта, </w:t>
            </w:r>
            <w:proofErr w:type="spellStart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DC36F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(включая НДС) 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F386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3D865035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72FE2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4D309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C341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F7D4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06A3B029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FD04D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70C04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BA75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регионального бюджета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25E0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32478B03" w14:textId="77777777" w:rsidTr="003A1EC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C7B2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D75A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97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внебюджета</w:t>
            </w:r>
            <w:proofErr w:type="spellEnd"/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предусмотрено концепцией)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68BA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0F2" w:rsidRPr="001E40F2" w14:paraId="22F22A2C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BEAA" w14:textId="77777777" w:rsidR="001E40F2" w:rsidRPr="00F032BD" w:rsidRDefault="00F032BD" w:rsidP="00F03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7205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территории реализации проекта</w:t>
            </w:r>
          </w:p>
        </w:tc>
      </w:tr>
      <w:tr w:rsidR="001E40F2" w:rsidRPr="001E40F2" w14:paraId="739B0D72" w14:textId="77777777" w:rsidTr="003A1E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8933B" w14:textId="77777777" w:rsidR="001E40F2" w:rsidRPr="001E40F2" w:rsidRDefault="00F032BD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50F94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в регионах и/или агломерациях/городах, имеющих стратегическое или приоритетное значение в соответствии с утвержденными документами стратегического планирования федерального уровня, а также распорядительными актами Президента Российской Федерации, Правительства Российской Федерации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73961B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524E84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Характеристика территории</w:t>
            </w:r>
          </w:p>
        </w:tc>
      </w:tr>
      <w:tr w:rsidR="001E40F2" w:rsidRPr="001E40F2" w14:paraId="6784481A" w14:textId="77777777" w:rsidTr="003A1EC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B30C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84BC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150A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3F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тип (характер) стратегического значения территории</w:t>
            </w:r>
          </w:p>
        </w:tc>
      </w:tr>
      <w:tr w:rsidR="001E40F2" w:rsidRPr="001E40F2" w14:paraId="1B145D1E" w14:textId="77777777" w:rsidTr="003A1ECF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EF13" w14:textId="77777777" w:rsidR="001E40F2" w:rsidRPr="001E40F2" w:rsidRDefault="00F032BD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9FBF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города / агломерации, на территории которого планируется реализация проекта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ED2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Численность населения города / агломерации, на территории которого планируется реализация проекта, составляет не менее 300 тыс. человек.</w:t>
            </w:r>
          </w:p>
        </w:tc>
      </w:tr>
      <w:tr w:rsidR="001E40F2" w:rsidRPr="001E40F2" w14:paraId="73A9AAB5" w14:textId="77777777" w:rsidTr="003A1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4FEAB" w14:textId="77777777" w:rsidR="001E40F2" w:rsidRPr="001E40F2" w:rsidRDefault="00F032BD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ADDDC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Демографические характеристики территории 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DFE96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Средний возраст населения территории реализации проекта по отношению к общероссийскому;</w:t>
            </w:r>
          </w:p>
          <w:p w14:paraId="502CAD23" w14:textId="77777777" w:rsidR="001E40F2" w:rsidRP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ранг территории реализации проекта по коэффициенту миграционного прироста населения;</w:t>
            </w:r>
          </w:p>
          <w:p w14:paraId="5CFB0017" w14:textId="77777777" w:rsidR="001E40F2" w:rsidRDefault="001E40F2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удельный вес студентов в численности населения территории реализации проекта.</w:t>
            </w:r>
          </w:p>
          <w:p w14:paraId="243F4D2C" w14:textId="77777777" w:rsidR="00F032BD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B804A28" w14:textId="77777777" w:rsidR="00F032BD" w:rsidRPr="001E40F2" w:rsidRDefault="00F032BD" w:rsidP="007C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E40F2" w:rsidRPr="001E40F2" w14:paraId="40384507" w14:textId="77777777" w:rsidTr="003A1E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6DB36" w14:textId="77777777" w:rsidR="001E40F2" w:rsidRPr="001E40F2" w:rsidRDefault="00F032BD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49164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образовательных </w:t>
            </w:r>
            <w:r w:rsidRPr="00A32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высшего образования в городе / агломерации на территории которого планируется реализация проекта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A7CF4" w14:textId="77777777" w:rsidR="001E40F2" w:rsidRPr="001E40F2" w:rsidRDefault="001E40F2" w:rsidP="00F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3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Количество образовательных </w:t>
            </w:r>
            <w:r w:rsidR="00F03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организаций высшего образования</w:t>
            </w:r>
          </w:p>
        </w:tc>
      </w:tr>
      <w:tr w:rsidR="001E40F2" w:rsidRPr="001E40F2" w14:paraId="444D4694" w14:textId="77777777" w:rsidTr="003A1E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CF3B6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E629C" w14:textId="77777777" w:rsidR="001E40F2" w:rsidRPr="001E40F2" w:rsidRDefault="001E40F2" w:rsidP="007C5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DE2E" w14:textId="77777777" w:rsidR="001E40F2" w:rsidRPr="001E40F2" w:rsidRDefault="001E40F2" w:rsidP="00A3298F">
            <w:pPr>
              <w:pStyle w:val="a3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образовательных организаций высшего образования</w:t>
            </w:r>
          </w:p>
        </w:tc>
      </w:tr>
      <w:tr w:rsidR="00A3298F" w:rsidRPr="001E40F2" w14:paraId="3BC79D37" w14:textId="77777777" w:rsidTr="003A1E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97A9F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22452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093F" w14:textId="77777777" w:rsidR="00A3298F" w:rsidRPr="00A3298F" w:rsidRDefault="00A3298F" w:rsidP="00A3298F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29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образовательных организаций высшего образования</w:t>
            </w:r>
          </w:p>
        </w:tc>
      </w:tr>
      <w:tr w:rsidR="00A3298F" w:rsidRPr="001E40F2" w14:paraId="29BDF9EB" w14:textId="77777777" w:rsidTr="003A1E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70D09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C0C1B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28C5" w14:textId="77777777" w:rsidR="00A3298F" w:rsidRPr="001E40F2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3298F" w:rsidRPr="001E40F2" w14:paraId="572FECDD" w14:textId="77777777" w:rsidTr="003A1E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96982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1A8D2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F3A" w14:textId="77777777" w:rsidR="00A3298F" w:rsidRPr="001E40F2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3298F" w:rsidRPr="001E40F2" w14:paraId="42B56732" w14:textId="77777777" w:rsidTr="003A1E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ECE59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F1409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FBB" w14:textId="77777777" w:rsidR="00A3298F" w:rsidRPr="001E40F2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3298F" w:rsidRPr="001E40F2" w14:paraId="63F93F1D" w14:textId="77777777" w:rsidTr="003A1EC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AFF9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FE3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556E" w14:textId="77777777" w:rsidR="00A3298F" w:rsidRPr="001E40F2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3298F" w:rsidRPr="001E40F2" w14:paraId="3C96E9B0" w14:textId="77777777" w:rsidTr="003A1ECF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739C9" w14:textId="77777777" w:rsidR="00A3298F" w:rsidRPr="001E40F2" w:rsidRDefault="00F032BD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0D6B3" w14:textId="77777777" w:rsidR="00A3298F" w:rsidRPr="001E40F2" w:rsidRDefault="00A3298F" w:rsidP="00A32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территории реализации проекта</w:t>
            </w:r>
          </w:p>
        </w:tc>
        <w:tc>
          <w:tcPr>
            <w:tcW w:w="1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93C1D" w14:textId="77777777" w:rsidR="00A3298F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53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Позиции территории реализации проекта в рейтингах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5BB3E905" w14:textId="77777777" w:rsidR="00A3298F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Национальный рейтинг состояния инвестиционного климата в субъектах Российской Федерации (АСИ);</w:t>
            </w:r>
          </w:p>
          <w:p w14:paraId="1FFF3F68" w14:textId="77777777" w:rsidR="00A3298F" w:rsidRDefault="00A3298F" w:rsidP="00A32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Рейтинг российских регионов по качеству жизни (РИА Рейтинг);</w:t>
            </w:r>
          </w:p>
          <w:p w14:paraId="1E30436A" w14:textId="77777777" w:rsidR="00A3298F" w:rsidRPr="001E40F2" w:rsidRDefault="00F032BD" w:rsidP="00F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Экологический рейтинг городов России (Минприроды России совместно с ОНФ)</w:t>
            </w:r>
          </w:p>
        </w:tc>
      </w:tr>
    </w:tbl>
    <w:p w14:paraId="048FD6EA" w14:textId="77777777" w:rsidR="0018389B" w:rsidRPr="001E40F2" w:rsidRDefault="0018389B" w:rsidP="00D01A6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hAnsi="Times New Roman" w:cs="Times New Roman"/>
          <w:sz w:val="24"/>
          <w:szCs w:val="24"/>
        </w:rPr>
      </w:pPr>
    </w:p>
    <w:sectPr w:rsidR="0018389B" w:rsidRPr="001E40F2" w:rsidSect="001E58D6">
      <w:pgSz w:w="16838" w:h="11906" w:orient="landscape"/>
      <w:pgMar w:top="1701" w:right="678" w:bottom="850" w:left="993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15FB" w14:textId="77777777" w:rsidR="006F0A28" w:rsidRDefault="006F0A28">
      <w:pPr>
        <w:spacing w:after="0" w:line="240" w:lineRule="auto"/>
      </w:pPr>
      <w:r>
        <w:separator/>
      </w:r>
    </w:p>
  </w:endnote>
  <w:endnote w:type="continuationSeparator" w:id="0">
    <w:p w14:paraId="08071F0B" w14:textId="77777777" w:rsidR="006F0A28" w:rsidRDefault="006F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745" w14:textId="77777777" w:rsidR="00B04985" w:rsidRDefault="00B0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773B" w14:textId="77777777" w:rsidR="006F0A28" w:rsidRDefault="006F0A28">
      <w:pPr>
        <w:spacing w:after="0" w:line="240" w:lineRule="auto"/>
      </w:pPr>
      <w:r>
        <w:separator/>
      </w:r>
    </w:p>
  </w:footnote>
  <w:footnote w:type="continuationSeparator" w:id="0">
    <w:p w14:paraId="340E2E64" w14:textId="77777777" w:rsidR="006F0A28" w:rsidRDefault="006F0A28">
      <w:pPr>
        <w:spacing w:after="0" w:line="240" w:lineRule="auto"/>
      </w:pPr>
      <w:r>
        <w:continuationSeparator/>
      </w:r>
    </w:p>
  </w:footnote>
  <w:footnote w:id="1">
    <w:p w14:paraId="0E51083D" w14:textId="77777777" w:rsidR="00B04985" w:rsidRPr="00B04985" w:rsidRDefault="00B04985" w:rsidP="00B049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B04985">
        <w:rPr>
          <w:rStyle w:val="af2"/>
          <w:rFonts w:ascii="Times New Roman" w:hAnsi="Times New Roman" w:cs="Times New Roman"/>
          <w:sz w:val="18"/>
        </w:rPr>
        <w:footnoteRef/>
      </w:r>
      <w:r w:rsidRPr="00B04985">
        <w:rPr>
          <w:rFonts w:ascii="Times New Roman" w:hAnsi="Times New Roman" w:cs="Times New Roman"/>
          <w:sz w:val="18"/>
        </w:rPr>
        <w:t xml:space="preserve"> </w:t>
      </w:r>
      <w:r w:rsidRPr="00B04985">
        <w:rPr>
          <w:rFonts w:ascii="Times New Roman" w:hAnsi="Times New Roman" w:cs="Times New Roman"/>
          <w:sz w:val="16"/>
          <w:szCs w:val="20"/>
        </w:rPr>
        <w:t xml:space="preserve">В случае, если проект по созданию современных университетских кампусов мирового уровня планируется реализовывать </w:t>
      </w:r>
      <w:r w:rsidRPr="00B04985">
        <w:rPr>
          <w:rFonts w:ascii="Times New Roman" w:hAnsi="Times New Roman" w:cs="Times New Roman"/>
          <w:color w:val="000000" w:themeColor="text1"/>
          <w:sz w:val="16"/>
          <w:szCs w:val="20"/>
        </w:rPr>
        <w:t>с применением механизмов государственно-частного партнерства (концессия) при условии исполнения в рамках реализации соглашения о государственно-частном партнерстве (концессионного соглашения) обязанностей публичного партнера (</w:t>
      </w:r>
      <w:proofErr w:type="spellStart"/>
      <w:r w:rsidRPr="00B04985">
        <w:rPr>
          <w:rFonts w:ascii="Times New Roman" w:hAnsi="Times New Roman" w:cs="Times New Roman"/>
          <w:color w:val="000000" w:themeColor="text1"/>
          <w:sz w:val="16"/>
          <w:szCs w:val="20"/>
        </w:rPr>
        <w:t>концедента</w:t>
      </w:r>
      <w:proofErr w:type="spellEnd"/>
      <w:r w:rsidRPr="00B04985">
        <w:rPr>
          <w:rFonts w:ascii="Times New Roman" w:hAnsi="Times New Roman" w:cs="Times New Roman"/>
          <w:color w:val="000000" w:themeColor="text1"/>
          <w:sz w:val="16"/>
          <w:szCs w:val="20"/>
        </w:rPr>
        <w:t>) Российской Федерацией, от имени которой будет выступать Минобрнауки России, то для данных проектов инициаторами проекта являются образовательная организация высшего образования, на территории которой планируется реализация проекта, а также частный инвестор.</w:t>
      </w:r>
    </w:p>
    <w:p w14:paraId="55B5C362" w14:textId="77777777" w:rsidR="00B04985" w:rsidRPr="008B7DE4" w:rsidRDefault="00B04985" w:rsidP="008B7D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r w:rsidRPr="00B04985">
        <w:rPr>
          <w:rFonts w:ascii="Times New Roman" w:hAnsi="Times New Roman" w:cs="Times New Roman"/>
          <w:color w:val="000000" w:themeColor="text1"/>
          <w:sz w:val="16"/>
          <w:szCs w:val="20"/>
        </w:rPr>
        <w:t>В иных случаях в роли инициатора проекта выступает высший исполнительный орган государственной власти субъекта Российской Федерации.</w:t>
      </w:r>
    </w:p>
  </w:footnote>
  <w:footnote w:id="2">
    <w:p w14:paraId="39155B6C" w14:textId="77777777" w:rsidR="00B04985" w:rsidRPr="00382969" w:rsidRDefault="00B04985" w:rsidP="00382969">
      <w:pPr>
        <w:pStyle w:val="af0"/>
        <w:ind w:left="-567"/>
        <w:jc w:val="both"/>
        <w:rPr>
          <w:rFonts w:ascii="Times New Roman" w:hAnsi="Times New Roman" w:cs="Times New Roman"/>
        </w:rPr>
      </w:pPr>
      <w:r w:rsidRPr="00382969">
        <w:rPr>
          <w:rStyle w:val="af2"/>
          <w:rFonts w:ascii="Times New Roman" w:hAnsi="Times New Roman" w:cs="Times New Roman"/>
        </w:rPr>
        <w:footnoteRef/>
      </w:r>
      <w:r w:rsidRPr="00382969">
        <w:rPr>
          <w:rFonts w:ascii="Times New Roman" w:hAnsi="Times New Roman" w:cs="Times New Roman"/>
        </w:rPr>
        <w:t xml:space="preserve"> в случае, если в составе участников проекта заявлены федеральные государственные бюджетные/автономные образовательные учреждения высшего образования, </w:t>
      </w:r>
      <w:r>
        <w:rPr>
          <w:rFonts w:ascii="Times New Roman" w:hAnsi="Times New Roman" w:cs="Times New Roman"/>
        </w:rPr>
        <w:br/>
      </w:r>
      <w:r w:rsidRPr="00382969">
        <w:rPr>
          <w:rFonts w:ascii="Times New Roman" w:hAnsi="Times New Roman" w:cs="Times New Roman"/>
        </w:rPr>
        <w:t xml:space="preserve">не подведомственное Минобрнауки России, необходимо представить документы, подтверждающие поддержку реализации проекта федеральным органом исполнительной власти, </w:t>
      </w:r>
      <w:r>
        <w:rPr>
          <w:rFonts w:ascii="Times New Roman" w:hAnsi="Times New Roman" w:cs="Times New Roman"/>
        </w:rPr>
        <w:br/>
      </w:r>
      <w:r w:rsidRPr="00382969">
        <w:rPr>
          <w:rFonts w:ascii="Times New Roman" w:hAnsi="Times New Roman" w:cs="Times New Roman"/>
        </w:rPr>
        <w:t>в ведении которого находится соответствующее ФГБ(А)ОУ ВО;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158"/>
    <w:multiLevelType w:val="multilevel"/>
    <w:tmpl w:val="0EE4A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5910A3"/>
    <w:multiLevelType w:val="multilevel"/>
    <w:tmpl w:val="0498B88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1E683EFF"/>
    <w:multiLevelType w:val="multilevel"/>
    <w:tmpl w:val="DC9C0BD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BF6125"/>
    <w:multiLevelType w:val="multilevel"/>
    <w:tmpl w:val="20C8D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7592B0A"/>
    <w:multiLevelType w:val="multilevel"/>
    <w:tmpl w:val="99224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D53146"/>
    <w:multiLevelType w:val="hybridMultilevel"/>
    <w:tmpl w:val="3306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F6"/>
    <w:rsid w:val="00003D6F"/>
    <w:rsid w:val="00006CF1"/>
    <w:rsid w:val="000277AF"/>
    <w:rsid w:val="00027BF3"/>
    <w:rsid w:val="00035363"/>
    <w:rsid w:val="00036377"/>
    <w:rsid w:val="0005088A"/>
    <w:rsid w:val="00076FD4"/>
    <w:rsid w:val="00082CFF"/>
    <w:rsid w:val="0008756A"/>
    <w:rsid w:val="000B12BF"/>
    <w:rsid w:val="000E1402"/>
    <w:rsid w:val="0010531D"/>
    <w:rsid w:val="00115F06"/>
    <w:rsid w:val="0012646C"/>
    <w:rsid w:val="0012692F"/>
    <w:rsid w:val="00131559"/>
    <w:rsid w:val="00142E4F"/>
    <w:rsid w:val="001739F1"/>
    <w:rsid w:val="00175488"/>
    <w:rsid w:val="0018389B"/>
    <w:rsid w:val="001876A3"/>
    <w:rsid w:val="00193AB1"/>
    <w:rsid w:val="001A32E1"/>
    <w:rsid w:val="001A354F"/>
    <w:rsid w:val="001A533E"/>
    <w:rsid w:val="001D3EA9"/>
    <w:rsid w:val="001D41F9"/>
    <w:rsid w:val="001E40F2"/>
    <w:rsid w:val="001E58D6"/>
    <w:rsid w:val="0020600C"/>
    <w:rsid w:val="00213123"/>
    <w:rsid w:val="002534E9"/>
    <w:rsid w:val="002566E9"/>
    <w:rsid w:val="00263EEF"/>
    <w:rsid w:val="002730D2"/>
    <w:rsid w:val="00277B60"/>
    <w:rsid w:val="002A2096"/>
    <w:rsid w:val="002A22D6"/>
    <w:rsid w:val="002A49B4"/>
    <w:rsid w:val="002C7DDF"/>
    <w:rsid w:val="002D38B4"/>
    <w:rsid w:val="002E6300"/>
    <w:rsid w:val="002F5FF8"/>
    <w:rsid w:val="00305B74"/>
    <w:rsid w:val="00321D70"/>
    <w:rsid w:val="00336650"/>
    <w:rsid w:val="00382969"/>
    <w:rsid w:val="003A1ECF"/>
    <w:rsid w:val="003B1F2A"/>
    <w:rsid w:val="003C1779"/>
    <w:rsid w:val="003E6C93"/>
    <w:rsid w:val="003E6FDD"/>
    <w:rsid w:val="003F5150"/>
    <w:rsid w:val="00400358"/>
    <w:rsid w:val="004267C9"/>
    <w:rsid w:val="004270ED"/>
    <w:rsid w:val="0045567B"/>
    <w:rsid w:val="00465D00"/>
    <w:rsid w:val="0047352C"/>
    <w:rsid w:val="00477870"/>
    <w:rsid w:val="00483FE3"/>
    <w:rsid w:val="00486B70"/>
    <w:rsid w:val="004C20F7"/>
    <w:rsid w:val="004D4CFA"/>
    <w:rsid w:val="004E2689"/>
    <w:rsid w:val="004E46BD"/>
    <w:rsid w:val="005012DC"/>
    <w:rsid w:val="005060EF"/>
    <w:rsid w:val="005079A5"/>
    <w:rsid w:val="00510339"/>
    <w:rsid w:val="00516639"/>
    <w:rsid w:val="005856E0"/>
    <w:rsid w:val="005A013D"/>
    <w:rsid w:val="005A33F0"/>
    <w:rsid w:val="005A6CFB"/>
    <w:rsid w:val="005C1DF8"/>
    <w:rsid w:val="005E41AC"/>
    <w:rsid w:val="005F46CB"/>
    <w:rsid w:val="005F6031"/>
    <w:rsid w:val="005F6506"/>
    <w:rsid w:val="00640F19"/>
    <w:rsid w:val="00643269"/>
    <w:rsid w:val="00682931"/>
    <w:rsid w:val="006A2FF3"/>
    <w:rsid w:val="006B1087"/>
    <w:rsid w:val="006D0839"/>
    <w:rsid w:val="006E0820"/>
    <w:rsid w:val="006E6A97"/>
    <w:rsid w:val="006F0A28"/>
    <w:rsid w:val="006F0CD6"/>
    <w:rsid w:val="006F1772"/>
    <w:rsid w:val="006F1F27"/>
    <w:rsid w:val="006F3045"/>
    <w:rsid w:val="006F365A"/>
    <w:rsid w:val="007101A8"/>
    <w:rsid w:val="007226BF"/>
    <w:rsid w:val="00726187"/>
    <w:rsid w:val="007544EF"/>
    <w:rsid w:val="00760DE1"/>
    <w:rsid w:val="007A2D1F"/>
    <w:rsid w:val="007C4AF2"/>
    <w:rsid w:val="007C52CD"/>
    <w:rsid w:val="007C5365"/>
    <w:rsid w:val="007C5886"/>
    <w:rsid w:val="007D65B9"/>
    <w:rsid w:val="008332E1"/>
    <w:rsid w:val="00835BB5"/>
    <w:rsid w:val="00842EAA"/>
    <w:rsid w:val="00853DCD"/>
    <w:rsid w:val="008A452D"/>
    <w:rsid w:val="008A7616"/>
    <w:rsid w:val="008B0ABC"/>
    <w:rsid w:val="008B7DE4"/>
    <w:rsid w:val="008D1899"/>
    <w:rsid w:val="008D579A"/>
    <w:rsid w:val="008E6417"/>
    <w:rsid w:val="00900617"/>
    <w:rsid w:val="00900F09"/>
    <w:rsid w:val="009123F1"/>
    <w:rsid w:val="00986A00"/>
    <w:rsid w:val="00995082"/>
    <w:rsid w:val="009962A9"/>
    <w:rsid w:val="009C0647"/>
    <w:rsid w:val="009C3164"/>
    <w:rsid w:val="009F1B42"/>
    <w:rsid w:val="00A06BB4"/>
    <w:rsid w:val="00A072DE"/>
    <w:rsid w:val="00A204D3"/>
    <w:rsid w:val="00A3298F"/>
    <w:rsid w:val="00A340C5"/>
    <w:rsid w:val="00A4776E"/>
    <w:rsid w:val="00A55479"/>
    <w:rsid w:val="00A65B28"/>
    <w:rsid w:val="00A65B37"/>
    <w:rsid w:val="00A66115"/>
    <w:rsid w:val="00A70541"/>
    <w:rsid w:val="00A77BA2"/>
    <w:rsid w:val="00A856DC"/>
    <w:rsid w:val="00A865D4"/>
    <w:rsid w:val="00A86B03"/>
    <w:rsid w:val="00AB0260"/>
    <w:rsid w:val="00AF6530"/>
    <w:rsid w:val="00B04985"/>
    <w:rsid w:val="00B2613A"/>
    <w:rsid w:val="00B45943"/>
    <w:rsid w:val="00B63BF6"/>
    <w:rsid w:val="00B6655D"/>
    <w:rsid w:val="00B90FF2"/>
    <w:rsid w:val="00B93C73"/>
    <w:rsid w:val="00BC7D0F"/>
    <w:rsid w:val="00C0275F"/>
    <w:rsid w:val="00C136E6"/>
    <w:rsid w:val="00C16A70"/>
    <w:rsid w:val="00C312CF"/>
    <w:rsid w:val="00C37064"/>
    <w:rsid w:val="00C46A8E"/>
    <w:rsid w:val="00C655AC"/>
    <w:rsid w:val="00C657C8"/>
    <w:rsid w:val="00C73B16"/>
    <w:rsid w:val="00C86545"/>
    <w:rsid w:val="00C935AD"/>
    <w:rsid w:val="00CA4BA2"/>
    <w:rsid w:val="00CC3C81"/>
    <w:rsid w:val="00CD41D1"/>
    <w:rsid w:val="00CE0295"/>
    <w:rsid w:val="00CF4E97"/>
    <w:rsid w:val="00D01A61"/>
    <w:rsid w:val="00D12617"/>
    <w:rsid w:val="00D2377F"/>
    <w:rsid w:val="00D24B88"/>
    <w:rsid w:val="00D26615"/>
    <w:rsid w:val="00D406DC"/>
    <w:rsid w:val="00D43CB1"/>
    <w:rsid w:val="00D652AF"/>
    <w:rsid w:val="00D92A2B"/>
    <w:rsid w:val="00DC3BE3"/>
    <w:rsid w:val="00DC5AD6"/>
    <w:rsid w:val="00DD735D"/>
    <w:rsid w:val="00DE013E"/>
    <w:rsid w:val="00DE3B63"/>
    <w:rsid w:val="00DF1F76"/>
    <w:rsid w:val="00DF4C0A"/>
    <w:rsid w:val="00E11A67"/>
    <w:rsid w:val="00E40409"/>
    <w:rsid w:val="00E811F9"/>
    <w:rsid w:val="00E816C8"/>
    <w:rsid w:val="00E902F1"/>
    <w:rsid w:val="00EA0982"/>
    <w:rsid w:val="00EA6378"/>
    <w:rsid w:val="00ED73E1"/>
    <w:rsid w:val="00EF3E09"/>
    <w:rsid w:val="00F032BD"/>
    <w:rsid w:val="00F1307C"/>
    <w:rsid w:val="00F3026A"/>
    <w:rsid w:val="00F57DD3"/>
    <w:rsid w:val="00F6372D"/>
    <w:rsid w:val="00F940CE"/>
    <w:rsid w:val="00FC0B3F"/>
    <w:rsid w:val="00FC1851"/>
    <w:rsid w:val="00FC3BF8"/>
    <w:rsid w:val="00FC7873"/>
    <w:rsid w:val="00FD2488"/>
    <w:rsid w:val="00FE034A"/>
    <w:rsid w:val="00FE548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683A"/>
  <w15:docId w15:val="{EEB69C31-DA48-4235-B88D-F8FE4C8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13E"/>
  </w:style>
  <w:style w:type="paragraph" w:styleId="1">
    <w:name w:val="heading 1"/>
    <w:basedOn w:val="a"/>
    <w:next w:val="a"/>
    <w:link w:val="10"/>
    <w:rsid w:val="001E40F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E40F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E40F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E40F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E40F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1E40F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E40F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E40F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E40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40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40F2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1E40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1E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1E40F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rsid w:val="001E40F2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1E40F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rsid w:val="001E40F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a">
    <w:name w:val="Table Grid"/>
    <w:basedOn w:val="a1"/>
    <w:uiPriority w:val="39"/>
    <w:rsid w:val="001E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40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0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0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32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32B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32BD"/>
    <w:rPr>
      <w:vertAlign w:val="superscript"/>
    </w:rPr>
  </w:style>
  <w:style w:type="character" w:styleId="af3">
    <w:name w:val="Hyperlink"/>
    <w:basedOn w:val="a0"/>
    <w:uiPriority w:val="99"/>
    <w:unhideWhenUsed/>
    <w:rsid w:val="008B0ABC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5F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F46CB"/>
  </w:style>
  <w:style w:type="paragraph" w:styleId="af6">
    <w:name w:val="footer"/>
    <w:basedOn w:val="a"/>
    <w:link w:val="af7"/>
    <w:uiPriority w:val="99"/>
    <w:unhideWhenUsed/>
    <w:rsid w:val="005F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F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9E78-A5FA-48C1-B31A-D0715D2C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Гатиятов Айрат Ринатович</dc:creator>
  <cp:lastModifiedBy>Евгения C.</cp:lastModifiedBy>
  <cp:revision>2</cp:revision>
  <cp:lastPrinted>2021-06-21T06:38:00Z</cp:lastPrinted>
  <dcterms:created xsi:type="dcterms:W3CDTF">2021-06-30T15:53:00Z</dcterms:created>
  <dcterms:modified xsi:type="dcterms:W3CDTF">2021-06-30T15:53:00Z</dcterms:modified>
</cp:coreProperties>
</file>