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39AC" w:rsidRDefault="00FA6E9E">
      <w:pPr>
        <w:pStyle w:val="Standard"/>
        <w:tabs>
          <w:tab w:val="left" w:pos="14317"/>
        </w:tabs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8839AC" w:rsidRDefault="00FA6E9E">
      <w:pPr>
        <w:pStyle w:val="Standard"/>
        <w:tabs>
          <w:tab w:val="left" w:pos="143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реализации публичной декларации целей и задач </w:t>
      </w:r>
      <w:r>
        <w:rPr>
          <w:rFonts w:ascii="Times New Roman" w:hAnsi="Times New Roman" w:cs="Times New Roman"/>
          <w:b/>
          <w:sz w:val="28"/>
          <w:szCs w:val="28"/>
        </w:rPr>
        <w:br/>
        <w:t>Министерства науки и высшего образования Российской Федерации за 2019 год</w:t>
      </w:r>
    </w:p>
    <w:p w:rsidR="008839AC" w:rsidRDefault="008839AC">
      <w:pPr>
        <w:pStyle w:val="Standard"/>
        <w:tabs>
          <w:tab w:val="left" w:pos="14317"/>
        </w:tabs>
        <w:spacing w:after="0" w:line="240" w:lineRule="auto"/>
        <w:jc w:val="center"/>
      </w:pPr>
    </w:p>
    <w:tbl>
      <w:tblPr>
        <w:tblW w:w="14425" w:type="dxa"/>
        <w:tblInd w:w="-2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50"/>
        <w:gridCol w:w="3573"/>
        <w:gridCol w:w="7802"/>
      </w:tblGrid>
      <w:tr w:rsidR="008839AC">
        <w:trPr>
          <w:trHeight w:val="533"/>
          <w:tblHeader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39AC" w:rsidRDefault="00FA6E9E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Задачи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39AC" w:rsidRDefault="00FA6E9E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Механизм реализации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39AC" w:rsidRDefault="00FA6E9E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Результаты</w:t>
            </w:r>
          </w:p>
        </w:tc>
      </w:tr>
      <w:tr w:rsidR="008839AC">
        <w:trPr>
          <w:trHeight w:val="420"/>
        </w:trPr>
        <w:tc>
          <w:tcPr>
            <w:tcW w:w="14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39AC" w:rsidRDefault="00FA6E9E">
            <w:pPr>
              <w:pStyle w:val="Standard"/>
              <w:spacing w:after="0" w:line="276" w:lineRule="auto"/>
              <w:jc w:val="center"/>
            </w:pP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Цель 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. Развитие интеллектуального потенциала нации</w:t>
            </w:r>
          </w:p>
        </w:tc>
      </w:tr>
      <w:tr w:rsidR="008839AC">
        <w:trPr>
          <w:trHeight w:val="1141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9AC" w:rsidRDefault="00FA6E9E">
            <w:pPr>
              <w:pStyle w:val="Standard"/>
              <w:shd w:val="clear" w:color="auto" w:fill="FFFFFF"/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Задача 1. Создание условий для выявления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 развития талантов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 профессионального роста научных, инженерных </w:t>
            </w:r>
          </w:p>
          <w:p w:rsidR="008839AC" w:rsidRDefault="00FA6E9E">
            <w:pPr>
              <w:pStyle w:val="Standard"/>
              <w:shd w:val="clear" w:color="auto" w:fill="FFFFFF"/>
              <w:spacing w:after="0" w:line="276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 предпринимательских кадров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9AC" w:rsidRDefault="00FA6E9E">
            <w:pPr>
              <w:pStyle w:val="Standard"/>
              <w:shd w:val="clear" w:color="auto" w:fill="FFFFFF"/>
              <w:spacing w:after="0" w:line="276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Подпрограмма 1 «Развитие национального интеллектуального капитала» государственной программы Российской Федерации «Научно-технологическое развитие Российской Федерации» (ГП НТР), в том числе федеральный проект «Развитие кадрового потенциала в сфере исследований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 разработок» национального проекта «Наука»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В целях увеличения академической мобильности </w:t>
            </w:r>
            <w:r>
              <w:rPr>
                <w:rStyle w:val="s2"/>
                <w:rFonts w:ascii="Times New Roman" w:eastAsia="Times New Roman" w:hAnsi="Times New Roman" w:cs="Times New Roman"/>
                <w:sz w:val="26"/>
                <w:szCs w:val="26"/>
              </w:rPr>
              <w:t xml:space="preserve">и развития компетенций исследователей в результате такой мобильности, Российским фондом фундаментальных исследований (далее –РФФИ) по результатам конкурса на лучшие проекты фундаментальных научных исследований, выполняемые молодыми учеными - кандидатами наук в научных организациях </w:t>
            </w:r>
            <w:r>
              <w:rPr>
                <w:rStyle w:val="s2"/>
                <w:rFonts w:ascii="Times New Roman" w:eastAsia="Times New Roman" w:hAnsi="Times New Roman" w:cs="Times New Roman"/>
                <w:sz w:val="26"/>
                <w:szCs w:val="26"/>
              </w:rPr>
              <w:br/>
              <w:t>Российской Федерации поддержан 181 проект.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В целях привлечения отечественных и зарубежных ученых мирового класса к формированию в Российской Федерации новых научных коллективов в 2019 году профинансировано 74 проекта научных исследований. В данных целях приняты соответствующие правила предоставления грантов из федерального бюджета для поддержки научных исследований, проводимых под руководством ведущих ученых в российских вузах, научных учреждениях 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br/>
              <w:t xml:space="preserve">и государственных научных центах.  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</w:pPr>
          </w:p>
          <w:p w:rsidR="008839AC" w:rsidRDefault="00FA6E9E">
            <w:pPr>
              <w:pStyle w:val="ConsPlusNormal"/>
              <w:shd w:val="clear" w:color="auto" w:fill="FFFFFF"/>
              <w:jc w:val="both"/>
            </w:pP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По итогам конкурса на получение грантов Правительства Российской Федерации для государственной поддержки научных исследований, проводимых под руководством ведущих ученых 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br/>
              <w:t>в российских образовательных организациях высшего образования, научных учреждениях и государственных научных центрах Российской Федерации «мегагранты» определены 36 победителей.</w:t>
            </w:r>
          </w:p>
          <w:p w:rsidR="008839AC" w:rsidRDefault="00FA6E9E">
            <w:pPr>
              <w:pStyle w:val="ConsPlusNormal"/>
              <w:shd w:val="clear" w:color="auto" w:fill="FFFFFF"/>
              <w:jc w:val="both"/>
            </w:pP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lastRenderedPageBreak/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 основании распоряжений Правительства Российской Федерации</w:t>
            </w:r>
          </w:p>
          <w:p w:rsidR="008839AC" w:rsidRDefault="00FA6E9E">
            <w:pPr>
              <w:pStyle w:val="ConsPlusNormal"/>
              <w:shd w:val="clear" w:color="auto" w:fill="FFFFFF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Присуждено: </w:t>
            </w:r>
          </w:p>
          <w:p w:rsidR="008839AC" w:rsidRDefault="00FA6E9E">
            <w:pPr>
              <w:pStyle w:val="ConsPlusNormal"/>
              <w:shd w:val="clear" w:color="auto" w:fill="FFFFFF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 премий Правительства Российской Федерации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2019 года в области науки и техники, 181 ученому присвоено почетное звание лауреата премии Правительства Российской Федерации в области науки и техники;</w:t>
            </w:r>
          </w:p>
          <w:p w:rsidR="008839AC" w:rsidRDefault="00FA6E9E">
            <w:pPr>
              <w:pStyle w:val="ConsPlusNormal"/>
              <w:shd w:val="clear" w:color="auto" w:fill="FFFFFF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 премий Правительства Российской Федерации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2019 года в области науки и техники для молодых ученых;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30 ученым присвоено почетное звание лауреата премии Правительства Российской Федерации 2019 года в области науки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 техники для молодых ученых.</w:t>
            </w:r>
          </w:p>
          <w:p w:rsidR="008839AC" w:rsidRDefault="008839AC">
            <w:pPr>
              <w:pStyle w:val="ConsPlusNormal"/>
              <w:shd w:val="clear" w:color="auto" w:fill="FFFFFF"/>
              <w:jc w:val="both"/>
            </w:pPr>
          </w:p>
          <w:p w:rsidR="008839AC" w:rsidRDefault="00FA6E9E">
            <w:pPr>
              <w:pStyle w:val="ConsPlusNormal"/>
              <w:shd w:val="clear" w:color="auto" w:fill="FFFFFF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целях демонстрации и популяризации результатов и достижений науки в рамках осуществления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конгрессно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-выставочной деятельности, проводимой Минобрнауки России оказана финансовая поддержка около 240 значимых конгрессов, конференций, семинаров, выставок и других научных мероприятий, проводимых подведомственными организациями.</w:t>
            </w:r>
          </w:p>
          <w:p w:rsidR="008839AC" w:rsidRDefault="008839AC">
            <w:pPr>
              <w:pStyle w:val="ConsPlusNormal"/>
              <w:shd w:val="clear" w:color="auto" w:fill="FFFFFF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ConsPlusNormal"/>
              <w:shd w:val="clear" w:color="auto" w:fill="FFFFFF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2019 году прошел XIV Всероссийский Фестиваль науки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NAUKA 0+, который охватил 81 регион нашей страны. Свои разработки, проекты и открытия на площадках фестиваля представили сотни молодых исследователей, опытных выдающихся ученых России и других стран: Китая, Японии, США, Австрии, Франции, Германии, Великобритании, Польши, Мальты, Египта, Канады, Армении, Белоруссии и других. В мероприятиях Фестиваля приняли участие 2,6 миллиона человек.</w:t>
            </w:r>
          </w:p>
          <w:p w:rsidR="008839AC" w:rsidRDefault="008839AC">
            <w:pPr>
              <w:pStyle w:val="ConsPlusNormal"/>
              <w:shd w:val="clear" w:color="auto" w:fill="FFFFFF"/>
              <w:jc w:val="both"/>
            </w:pPr>
          </w:p>
          <w:p w:rsidR="008839AC" w:rsidRDefault="00FA6E9E">
            <w:pPr>
              <w:pStyle w:val="ConsPlusNormal"/>
              <w:shd w:val="clear" w:color="auto" w:fill="FFFFFF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 целях выявления талантов и их развития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Сколковском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институте науки и технологий прошел второй образовательный интенсив «Остров 10-22», одним из организаторов которого выступило Минобрнауки России. Целью данного интенсива стало создание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 развитие команд региональных университетов, которые смогут реализовать системные изменения в сфере подготовки кадров для технологического развития России.</w:t>
            </w:r>
          </w:p>
          <w:p w:rsidR="008839AC" w:rsidRDefault="008839AC">
            <w:pPr>
              <w:pStyle w:val="ConsPlusNormal"/>
              <w:shd w:val="clear" w:color="auto" w:fill="FFFFFF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В рамках реализации мероприятий федерального проекта «Развитие кадрового потенциала в сфере исследований </w:t>
            </w: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br/>
              <w:t>и разработок»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национального проекта «Наука»: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По итогам конкурса, объявленного Российским фондом фундаментальных исследований (далее – РФФИ) на лучшие проекты фундаментальных научных исследований, выполняемых молодыми учеными, обучающимися в аспирантуре, поддержано 1494 проекта. Задача конкурса - создание молодым ученым-аспирантам условий для подготовки диссертации на соискание ученой степени кандидата наук, содействие в трудоустройстве и закрепление молодых ученых в российских научных организациях.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На базе созданных в 2019 году научно-образовательных центров мирового уровня (далее – НОЦ) открыты первые 5 центров развития компетенций руководителей научных, научно-технических проектов и лабораторий, 4 из которых приступили к реализации образовательных программ дополнительного профессионального образования по программам повышения квалификации 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lastRenderedPageBreak/>
              <w:t>и профессиональной переподготовки. В 2019 году прошли обучение 159 человек.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Создано 298 новых лабораторий в 177 подведомственных организациях Минобрнауки России 42,6 % (127 лабораторий) которых возглавляют молодые ученые в возрасте до 39 лет.</w:t>
            </w:r>
          </w:p>
        </w:tc>
      </w:tr>
      <w:tr w:rsidR="008839AC">
        <w:trPr>
          <w:trHeight w:val="1708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9AC" w:rsidRDefault="00FA6E9E">
            <w:pPr>
              <w:pStyle w:val="Standard"/>
              <w:shd w:val="clear" w:color="auto" w:fill="FFFFFF"/>
              <w:spacing w:after="0" w:line="276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Задача 2. Создание условий для повышения уровня капитализации образовательного потенциала населения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9AC" w:rsidRDefault="00FA6E9E">
            <w:pPr>
              <w:pStyle w:val="Standard"/>
              <w:shd w:val="clear" w:color="auto" w:fill="FFFFFF"/>
              <w:spacing w:after="0" w:line="276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Подпрограмма 2 «Обеспечение глобальной конкурентоспособности российского высшего образования»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ГП НТР, в том числе федеральные проекты «Молодые профессионалы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(Повышение конкурентоспособности профессионального образования)», «Новые возможности для каждого», «Экспорт образования» национального проекта «Образование»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Обеспечена доступность высшего образования в 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с государственными гарантиями реализации права на получение бесплатного высшего образования (на конкурсной основе) на основе установления вузам контрольных цифр приема граждан на обучение по образовательным программам высшего образования.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Финансово обеспечена деятельность вузов, направленная на реализацию образовательных программ высшего образования (в том числе расходы на проведение научной деятельности, приобретение современного оборудования, проведение работ по капитальному ремонту, реставрации и дооснащения материально-технической базы).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Обеспечено выполнение социальных государственных гарантий студентам и работникам образовательных организаций высшего образования, предусмотренных законодательством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Российской Федерации.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</w:pPr>
          </w:p>
          <w:p w:rsidR="008839AC" w:rsidRDefault="00FA6E9E">
            <w:pPr>
              <w:pStyle w:val="Standarduser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Завершена работа по усовершенствованию методики распределения КЦП (далее – модель). Ключевым отличием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предлагаемой модели от действующей является подход к региональному распределению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общих контрольных цифр приема, исходя из потребности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в выпускниках, а не абитуриентах.</w:t>
            </w:r>
          </w:p>
          <w:p w:rsidR="008839AC" w:rsidRDefault="008839AC">
            <w:pPr>
              <w:pStyle w:val="Standarduser"/>
              <w:shd w:val="clear" w:color="auto" w:fill="FFFFFF"/>
              <w:spacing w:after="0" w:line="240" w:lineRule="auto"/>
              <w:jc w:val="both"/>
              <w:rPr>
                <w:sz w:val="26"/>
                <w:szCs w:val="26"/>
              </w:rPr>
            </w:pPr>
          </w:p>
          <w:p w:rsidR="008839AC" w:rsidRDefault="00FA6E9E">
            <w:pPr>
              <w:pStyle w:val="Standarduser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Усовершенствованы механизмы целевого приема и обучения, нормативно регламентированы особенности приема на целевое обучение по образовательным программам высшего образования.</w:t>
            </w:r>
          </w:p>
          <w:p w:rsidR="008839AC" w:rsidRDefault="008839AC">
            <w:pPr>
              <w:pStyle w:val="Standarduser"/>
              <w:shd w:val="clear" w:color="auto" w:fill="FFFFFF"/>
              <w:spacing w:after="0" w:line="240" w:lineRule="auto"/>
              <w:jc w:val="both"/>
              <w:rPr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Обеспечены совершенствование и реализация мероприятий по контролю (надзору) в сфере образования за деятельностью организаций, осуществляющих образовательную деятельность.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Реализована государственная поддержка образовательного кредитования граждан (выдано более 3000 образовательных кредитов с государственной поддержкой образовательного кредитования, обучающимся в 406 образовательных организациях высшего образования).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ind w:right="57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целях развития инфраструктуры высшего образования в 2019 году в рамках реализации федеральной адресной инвестиционной программы Минобрнауки России обеспечен ввод в эксплуатацию 17 объектов капитального строительства, из них: 8 общежитий (4018 мест), 5 объектов учебной инфраструктуры (учебно-лабораторные корпуса), 2 физкультурно-оздоровительных комплекса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с плавательными бассейнами, 2 объекта вспомогательного назначения.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ind w:left="57" w:right="57"/>
              <w:jc w:val="both"/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В рамках реализации мероприятий федерального проекта «Молодые профессионалы (Повышение конкурентоспособности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профессионального образования)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национального проекта «Образование»: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Расширено представительство российских университетов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br/>
              <w:t>в глобальных рейтингах.  В 2019 году в топ-500 институциональных рейтингов входит 16 российских университетов (в 2012 году в топ-500 было представлено 7 российских университетов). Количество российских университетов, входящих в глобальные рейтинги университетов, возросло до 48 университетов.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В целях повышения конкурентоспособности российского высшего образования дан старт пилотному проекту по развитию комплексных программ взаимодействия ведущих образовательных организаций высшего образования с региональными вузами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br/>
              <w:t>в научно-исследовательской и образовательной деятельности.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Актуализирована методика мониторинга трудоустройства выпускников организаций, осуществляющих образовательную деятельность по образовательным программам высшего образования, с учетом соответствия образовательных программ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 профессий, различных видов занятости выпускников вузов, удовлетворённости работодателей и информации со специализированных сайтов.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 базе информационного ресурса (портала) «Современная цифровая образовательная среда» разработана и введена в опытную эксплуатацию подсистема, обеспечивающая возможность формирования индивидуальных портфолио обучающихся.</w:t>
            </w: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Разработана целевая модель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«опорных» университетов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обеспечивающих подготовку кадров для базовых отраслей экономики и социальной сферы субъектов Российской Федерации. Определен набор показателей конкурсного отбора и показателей результативности, предусматривающий обеспечение высокого качества подготовки кадров и активное участие университетов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в реализации стратегической повестки развития регионов.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В рамках реализации мероприятий федерального проекта «Новые возможности для каждого» национального проекта «Образование»: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Победителями конкурсного отбора, проведенного в целях подготовки научно-педагогических работников и работников организаций-работодателей к реализации современных программ непрерывного образования, стали 20 образовательных организаций высшего образования. В 2019 году прошли обучение 19, 0 тыс. научно-педагогических работников и работников организаций-работодателей.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целях увеличения количества граждан, ежегодно проходящих обучение по программам непрерывного образования (дополнительным образовательным программам и программам профессионального обучения) в образовательных организациях высшего образования, состоялся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конкурс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результатам которого победителями стали 50 вузов, согласно заявкам которых дополнительное образование за счет грантовой поддержки получили более 134,8 тыс. человек.</w:t>
            </w:r>
          </w:p>
          <w:p w:rsidR="008839AC" w:rsidRDefault="00FA6E9E">
            <w:pPr>
              <w:pStyle w:val="Standarduser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Выполнено проектирование интеграционной платформы непрерывного образования (профессиональное обучение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и дополнительное образование) и набора сервисов, обеспечивающих навигацию и поддержку граждан при выборе образовательных программ и организаций, осуществляющих образовательную деятельность.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В рамках реализации мероприятий федерального проекта «Экспорт образования»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национального проекта «Образование»: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 целях осуществления государственной поддержки продвижения российского образования за рубежом  созданы основные правовые механизмы, финансовые механизмы (проведены соответствующие конкурсные процедуры, в том числе на создание зарубежных ресурсных центров, массовое обучение работников международных служб, расширение присутствия информации о российском образовании в интернет-пространстве и другие), информационные механизмы (опубликовано 735 материалов о российском образовании в зарубежных СМИ 31 страны), нормативные механизмы (ведется разработка комплекса мер по совершенствованию правил въезда в Российскую Федерацию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br/>
              <w:t>и пребывания на ее территории иностранных граждан, проведен мониторинг показателей международной деятельности образовательных организаций высшего образования, проведена оценка экспортного потенциала вузов).</w:t>
            </w: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2019 году открыты первые 5 ресурсных центров. Прошли обучение в зимних и летних школах 17,8 иностранных обучающихся.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Проведена Международная олимпиада Ассоциации «Глобальные университеты», в которой приняло участие 22 тыс. человек из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162 стран. Среди них 1504 иностранных участника, завершающих обучение или получивших образование в России. Победителями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и призерами стали 316 человек из 60 стран (из них 158 человек проходили Олимпиаду на английском языке).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целях развития инфраструктуры для проживания обучающихся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в российских учебных заведениях в 2019 году обеспечено строительство и реконструкция ранее начатых объектов, а также объектов, обеспеченных разработанной проектной документацией, получившей положительные заключения государственной экспертизы, в 24 образовательных организациях высшего образования в 18 субъектах Российской Федерации. Общее количество мест по заключенным соглашениям составляет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14,7 тыс. мест.</w:t>
            </w:r>
          </w:p>
        </w:tc>
      </w:tr>
      <w:tr w:rsidR="008839AC">
        <w:trPr>
          <w:trHeight w:val="857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9AC" w:rsidRDefault="00FA6E9E">
            <w:pPr>
              <w:pStyle w:val="Standard"/>
              <w:shd w:val="clear" w:color="auto" w:fill="FFFFFF"/>
              <w:spacing w:after="0" w:line="276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Задача 3. Получение новых знаний за счет развития и поддержки фундаментальных исследований, обеспечивающих готовность страны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к большим вызовам и своевременной оценке рисков, обусловленных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научно-технологическим развитием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9AC" w:rsidRDefault="00FA6E9E">
            <w:pPr>
              <w:pStyle w:val="Standard"/>
              <w:shd w:val="clear" w:color="auto" w:fill="FFFFFF"/>
              <w:spacing w:after="0" w:line="276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Подпрограмма 3 «Фундаментальные научные исследования для долгосрочного развития и обеспечения конкурентоспособности общества и государства» ГП НТР, в том числе федеральный проект «Развитие кадрового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потенциала в сфере исследований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 разработок» национального проекта «Наука»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Обеспечена реализация программы фундаментальных научных исследований, в целях получения новых фундаментальных научных знаний в интересах долгосрочного развития и обеспечения конкурентоспособности общества и государства.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Финансово обеспечена деятельность Российской академии наук, под научно-методическим руководством которой продолжают проводиться научные исследования по приоритетным научным направлениям фундаментальных научных исследований для долгосрочного развития и обеспечения конкурентоспособности общества и государства.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Минобрнауки России реализован конкурсный отбор крупных проектов по проведению фундаментальных научных исследований по приоритетным направлениям, определяемым президиумом Российской академии наук, по итогам которого поддержаны 25 крупных проектов.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В рамках реализации мероприятий федерального проекта «Развитие кадрового потенциала в сфере исследований </w:t>
            </w: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br/>
              <w:t>и разработок» национального проекта «Наука»: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С целью поддержки талантливых молодых исследователей запущены конкурсы на поддержку научных проектов по актуальным направлениям научно-технологического развития. 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br/>
              <w:t xml:space="preserve">В рамках реализации результата Российским научным фондом поддержано 1717 проектов из 61 субъекта Российской Федерации, 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br/>
              <w:t>и заключены соглашения с получателями грантов на поддержку научных проектов по приоритетам научно-технологического развития, которые определены победителями.</w:t>
            </w:r>
          </w:p>
        </w:tc>
      </w:tr>
      <w:tr w:rsidR="008839AC">
        <w:trPr>
          <w:trHeight w:val="432"/>
        </w:trPr>
        <w:tc>
          <w:tcPr>
            <w:tcW w:w="14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39AC" w:rsidRDefault="00FA6E9E">
            <w:pPr>
              <w:pStyle w:val="Standard"/>
              <w:shd w:val="clear" w:color="auto" w:fill="FFFFFF"/>
              <w:spacing w:after="0" w:line="276" w:lineRule="auto"/>
              <w:jc w:val="center"/>
            </w:pP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Цель 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. Научно-техническое и интеллектуальное обеспечение структурных изменений в экономике</w:t>
            </w:r>
          </w:p>
        </w:tc>
      </w:tr>
      <w:tr w:rsidR="008839AC">
        <w:trPr>
          <w:trHeight w:val="2558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9AC" w:rsidRDefault="00FA6E9E">
            <w:pPr>
              <w:pStyle w:val="Standard"/>
              <w:shd w:val="clear" w:color="auto" w:fill="FFFFFF"/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Задача 4. Поддержка всех стадий «жизненного цикла» знаний, за счет формирования эффективной системы коммуникации в области науки, технологий и инноваций, и повышения восприимчивости экономики и общества </w:t>
            </w:r>
          </w:p>
          <w:p w:rsidR="008839AC" w:rsidRDefault="00FA6E9E">
            <w:pPr>
              <w:pStyle w:val="Standard"/>
              <w:shd w:val="clear" w:color="auto" w:fill="FFFFFF"/>
              <w:spacing w:after="0" w:line="276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инновациям, создания условия для развития наукоемкого бизнеса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9AC" w:rsidRDefault="00FA6E9E">
            <w:pPr>
              <w:pStyle w:val="Standard"/>
              <w:shd w:val="clear" w:color="auto" w:fill="FFFFFF"/>
              <w:spacing w:after="0" w:line="276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Подпрограмма 4 «Формирование и реализация комплексных научно-технических программ по приоритетам Стратегии научно-технологического развития Российской Федерации, а также научное, технологическое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 инновационное развитие по широкому спектру направлений» ГП НТР, в том числе федеральный проект «Развитие научной и научно-производственной кооперации» национального проекта «Наука»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Утверждены правила разработки, утверждения, реализации, корректировки и прекращения комплексных научно-технических программ и проектов полного инновационного цикла в целях обеспечения реализации приоритетов научно-технологического развития Российской Федерации, предусматривающие правовой механизм для расширения доступа негосударственных компаний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к участию в реализации научных и научно-технических проектов на всех стадиях.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Обеспечена поддержка наукоградов.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Обеспечено пребывание и участие российских ученых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 специалистов в научных программах зарубежных научных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 международных центров.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В рамках реализации мероприятий федерального проекта «Развитие научной и научно-производственной кооперации» национального проекта «Наука»: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пилотном режиме функционируют 5 первых НОЦ, расположенных в Пермском крае, Белгородской, Кемеровской, Нижегородской и Тюменской областях, которые призваны объединить потенциалы ведущих научных и образовательных организаций высшего образования с организациями реального сектора экономики.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Отобраны три центра геномных исследований,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которые будут функционировать в форме консорциумов.</w:t>
            </w: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Отобраны 4 международных математических центра мирового уровня, выполняющих исследования и разработки по актуальным направлениям развития математики.</w:t>
            </w: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Проведен отбор и поддержаны программы развития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4 специализированных учебных научных центров (далее – СУНЦ) на базе Московского государственного университета,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Санкт-Петербургского государственного университета, Новосибирского государственного университета и Уральского федерального университета, программы развития которых получили поддержку на 3-летний период. Преимущественной особенностью СУНЦ является наличие интерната.  При этом главным социально значимым результатом предоставления грантов стало отсутствие платы за интернатное проживание. Гранты, предоставленные СУНЦ, направлены также на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расширение возможностей участия обучающихся в различного рода олимпиадах и интеллектуальных соревнованиях, как всероссийского, так и мирового масштаба.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конкурсной основе определены 35 организаций на базе которых созданы лаборатории мирового уровня под руководством ведущих ученых с мировым именем, в том числе соотечественников, проживающих за рубежом.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рамках международного года периодической таблицы химических элементов в г. Санкт-Петербурге прошел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Менделеевский Съезд по общей и прикладной химии, в работе которого приняли участие 3871 делегатов из 60 стран мира.</w:t>
            </w:r>
          </w:p>
        </w:tc>
      </w:tr>
      <w:tr w:rsidR="008839AC">
        <w:tc>
          <w:tcPr>
            <w:tcW w:w="14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9AC" w:rsidRDefault="00FA6E9E">
            <w:pPr>
              <w:pStyle w:val="Standard"/>
              <w:shd w:val="clear" w:color="auto" w:fill="FFFFFF"/>
              <w:spacing w:after="0" w:line="276" w:lineRule="auto"/>
              <w:jc w:val="center"/>
            </w:pP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Цель 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. Эффективная организация и технологическое обновление научной, научно-технической и инновационной (высокотехнологичной) деятельности</w:t>
            </w:r>
          </w:p>
        </w:tc>
      </w:tr>
      <w:tr w:rsidR="008839AC">
        <w:trPr>
          <w:trHeight w:val="4259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9AC" w:rsidRDefault="00FA6E9E">
            <w:pPr>
              <w:pStyle w:val="Standard"/>
              <w:shd w:val="clear" w:color="auto" w:fill="FFFFFF"/>
              <w:spacing w:after="0" w:line="276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Задача 5. Опережающее развитие инфраструктуры, включая формирование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 реализацию национальных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 международных инфраструктурных проектов класса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мегасайенс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 информационного обеспечения научной, научно-технической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 инновационной высокотехнологичной деятельности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с обеспечением беспрепятственного доступа к ней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9AC" w:rsidRDefault="00FA6E9E">
            <w:pPr>
              <w:pStyle w:val="Standard"/>
              <w:shd w:val="clear" w:color="auto" w:fill="FFFFFF"/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Подпрограмма 5 «Инфраструктура научной, научно-технической </w:t>
            </w:r>
          </w:p>
          <w:p w:rsidR="008839AC" w:rsidRDefault="00FA6E9E">
            <w:pPr>
              <w:pStyle w:val="Standard"/>
              <w:shd w:val="clear" w:color="auto" w:fill="FFFFFF"/>
              <w:spacing w:after="0" w:line="276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инновационной деятельности»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ГП НТР, в том числе федеральный проект «Развитие передовой инфраструктуры исследований и разработок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в Российской Федерации» национального проекта «Наука»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Обеспечена реализация государственной функции в сфере научной деятельности и высшего образования.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Реализованы международные обязательства Российской Федерации в сфере научно-технической и инновационной деятельности, в том числе в части участия в международных организациях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 объединениях, эксплуатации научных установок и перечислению взносов в международные научные организации.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В соответствии с данными ежегодного мониторинга научно-технологической инфраструктуры (портал ckp-rf.ru)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br/>
              <w:t xml:space="preserve">в Российской Федерации зарегистрировано 610 центров коллективного пользования (далее – ЦКП), 360 уникальных научных </w:t>
            </w:r>
            <w:proofErr w:type="gram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установок  (</w:t>
            </w:r>
            <w:proofErr w:type="gram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далее – УНУ). В число базовых организаций ЦКП и УНУ входят национальные исследовательские и федеральные университеты, государственные научные центры и другие организации.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i/>
                <w:color w:val="111111"/>
                <w:sz w:val="26"/>
                <w:szCs w:val="26"/>
              </w:rPr>
              <w:t>В рамках реализации мероприятий федерального проекта «Развитие передовой инфраструктуры исследований и разработок в Российской Федерации»</w:t>
            </w:r>
            <w:r>
              <w:rPr>
                <w:rFonts w:ascii="Times New Roman" w:hAnsi="Times New Roman" w:cs="Times New Roman"/>
                <w:color w:val="11111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111111"/>
                <w:sz w:val="26"/>
                <w:szCs w:val="26"/>
              </w:rPr>
              <w:t>национального проекта «Наука»: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ind w:right="57"/>
              <w:jc w:val="both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111 ведущих научных организаций, выполняющих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научные исследования и разработки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получили гранты на обновление приборной базы.</w:t>
            </w: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ind w:right="57"/>
              <w:jc w:val="both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В целях получения результатов с использованием синхротронных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и нейтронных источников, необходимых для создания прорывных технологических решений, 25 июля 2019 г. принят Указ Президента Российской Федерации № 356 «О мерах по развитию синхротронных и нейтронных исследований и инфраструктуры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в Российской Федерации» (далее – Указ), который предусматривает разработку и утверждение Федеральной научно-технической программы развития синхротронных и нейтронных исследований на 2019 - 2027 годы. В рамках Федеральной программы будет обеспечено создание сетевой синхротронной и нейтронной научно-исследовательской инфраструктуры, развитие ускорительных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и реакторных технологий, отечественной приборно-инструментальной базы для оснащения экспериментальных станций.</w:t>
            </w:r>
          </w:p>
          <w:p w:rsidR="008839AC" w:rsidRDefault="00FA6E9E">
            <w:pPr>
              <w:pStyle w:val="Standarduser"/>
              <w:shd w:val="clear" w:color="auto" w:fill="FFFFFF"/>
              <w:tabs>
                <w:tab w:val="left" w:pos="2268"/>
              </w:tabs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рамках Указа, предусмотрено создание и развитие исследовательской инфраструктуры, включая проектирование, строительство и техническую эксплуатацию 5 уникальных научных установок класса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мегасайенс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".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ind w:right="284"/>
              <w:jc w:val="both"/>
              <w:rPr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Одобрены 18 научных организаций на базе которых созданы научные селекционные центры в области сельского хозяйства, деятельность которых будет способствовать импортозамещению, </w:t>
            </w: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ind w:right="113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 также продовольственной безопасности России.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Предоставлен свободный доступ на 2019 год к международным научным базам данных для научных организаций и образовательных организаций Российской Федерации.</w:t>
            </w: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Определен победитель конкурса на проведение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 обеспечению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проектирования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двух новых современных научно-исследовательских судов неограниченного района плавания. Суда будут строится на российских верфях.</w:t>
            </w:r>
          </w:p>
          <w:p w:rsidR="008839AC" w:rsidRDefault="008839AC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AC" w:rsidRDefault="00FA6E9E">
            <w:pPr>
              <w:pStyle w:val="Standard"/>
              <w:shd w:val="clear" w:color="auto" w:fill="FFFFFF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Научно-исследовательским флотом Минобрнауки России проведено 37 морских экспедиций комплексного характера в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арктических, дальневосточных, Черном и Азовском морях. В экспедициях 2019 года было задействовано 8 научно-исследовательских судов неограниченного района плавания и 6 судов, работающих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в прибрежной зоне. Кроме российских исследователей,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в экспедициях также приняли участие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представители зарубежных научных и образовательных организаций из Швеции, США, Аргентины, Польши, Германии, Вьетнама, Южной Кореи, Китая.</w:t>
            </w:r>
          </w:p>
          <w:p w:rsidR="007A4929" w:rsidRDefault="007A4929">
            <w:pPr>
              <w:pStyle w:val="Standard"/>
              <w:shd w:val="clear" w:color="auto" w:fill="FFFFFF"/>
              <w:spacing w:after="0" w:line="240" w:lineRule="auto"/>
              <w:ind w:right="-2"/>
              <w:jc w:val="both"/>
            </w:pPr>
            <w:bookmarkStart w:id="0" w:name="_GoBack"/>
            <w:bookmarkEnd w:id="0"/>
          </w:p>
        </w:tc>
      </w:tr>
    </w:tbl>
    <w:p w:rsidR="008839AC" w:rsidRDefault="008839AC">
      <w:pPr>
        <w:pStyle w:val="Standard"/>
        <w:shd w:val="clear" w:color="auto" w:fill="FFFFFF"/>
      </w:pPr>
    </w:p>
    <w:sectPr w:rsidR="008839AC">
      <w:pgSz w:w="16838" w:h="11906" w:orient="landscape"/>
      <w:pgMar w:top="1418" w:right="1134" w:bottom="136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E9E" w:rsidRDefault="00FA6E9E">
      <w:r>
        <w:separator/>
      </w:r>
    </w:p>
  </w:endnote>
  <w:endnote w:type="continuationSeparator" w:id="0">
    <w:p w:rsidR="00FA6E9E" w:rsidRDefault="00FA6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E9E" w:rsidRDefault="00FA6E9E">
      <w:r>
        <w:rPr>
          <w:color w:val="000000"/>
        </w:rPr>
        <w:separator/>
      </w:r>
    </w:p>
  </w:footnote>
  <w:footnote w:type="continuationSeparator" w:id="0">
    <w:p w:rsidR="00FA6E9E" w:rsidRDefault="00FA6E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440490"/>
    <w:multiLevelType w:val="multilevel"/>
    <w:tmpl w:val="5314B7C4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5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9AC"/>
    <w:rsid w:val="00087C14"/>
    <w:rsid w:val="007A4929"/>
    <w:rsid w:val="008839AC"/>
    <w:rsid w:val="00FA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024FF"/>
  <w15:docId w15:val="{7DA8C3AA-9994-4835-BC35-ADBCF463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F"/>
        <w:sz w:val="22"/>
        <w:szCs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54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10">
    <w:name w:val="Заголовок1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index heading"/>
    <w:basedOn w:val="Standard"/>
    <w:pPr>
      <w:suppressLineNumbers/>
    </w:pPr>
    <w:rPr>
      <w:rFonts w:cs="Arial"/>
    </w:rPr>
  </w:style>
  <w:style w:type="paragraph" w:customStyle="1" w:styleId="HeaderandFooter">
    <w:name w:val="Header and Footer"/>
    <w:basedOn w:val="Standard"/>
  </w:style>
  <w:style w:type="paragraph" w:styleId="a6">
    <w:name w:val="head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</w:pPr>
    <w:rPr>
      <w:rFonts w:eastAsia="Times New Roman" w:cs="Calibri"/>
      <w:szCs w:val="20"/>
      <w:lang w:eastAsia="ru-RU"/>
    </w:rPr>
  </w:style>
  <w:style w:type="paragraph" w:customStyle="1" w:styleId="a9">
    <w:name w:val="Обычный (веб)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user">
    <w:name w:val="Standard (user)"/>
    <w:pPr>
      <w:widowControl/>
      <w:suppressAutoHyphens/>
      <w:spacing w:after="200" w:line="276" w:lineRule="auto"/>
    </w:pPr>
  </w:style>
  <w:style w:type="character" w:customStyle="1" w:styleId="aa">
    <w:name w:val="Верхний колонтитул Знак"/>
    <w:basedOn w:val="a0"/>
  </w:style>
  <w:style w:type="character" w:customStyle="1" w:styleId="ab">
    <w:name w:val="Нижний колонтитул Знак"/>
    <w:basedOn w:val="a0"/>
  </w:style>
  <w:style w:type="character" w:customStyle="1" w:styleId="s2">
    <w:name w:val="s2"/>
    <w:basedOn w:val="a0"/>
  </w:style>
  <w:style w:type="character" w:customStyle="1" w:styleId="ac">
    <w:name w:val="Текст выноски Знак"/>
    <w:basedOn w:val="a0"/>
    <w:rPr>
      <w:rFonts w:ascii="Tahoma" w:eastAsia="Tahoma" w:hAnsi="Tahoma" w:cs="Tahoma"/>
      <w:sz w:val="16"/>
      <w:szCs w:val="16"/>
    </w:rPr>
  </w:style>
  <w:style w:type="numbering" w:customStyle="1" w:styleId="1">
    <w:name w:val="Нет списка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2350</Words>
  <Characters>18706</Characters>
  <Application>Microsoft Office Word</Application>
  <DocSecurity>0</DocSecurity>
  <Lines>534</Lines>
  <Paragraphs>96</Paragraphs>
  <ScaleCrop>false</ScaleCrop>
  <Company/>
  <LinksUpToDate>false</LinksUpToDate>
  <CharactersWithSpaces>20960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Булышева Дарья Игоревна</dc:creator>
  <cp:lastModifiedBy>Евгения</cp:lastModifiedBy>
  <cp:revision>3</cp:revision>
  <cp:lastPrinted>2020-03-05T13:55:00Z</cp:lastPrinted>
  <dcterms:created xsi:type="dcterms:W3CDTF">2020-03-06T09:00:00Z</dcterms:created>
  <dcterms:modified xsi:type="dcterms:W3CDTF">2020-03-06T09:01:00Z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